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ECC75">
      <w:pPr>
        <w:spacing w:line="580" w:lineRule="exact"/>
        <w:contextualSpacing/>
        <w:rPr>
          <w:rFonts w:eastAsia="黑体"/>
          <w:szCs w:val="32"/>
          <w:lang w:val="zh-CN"/>
        </w:rPr>
      </w:pPr>
      <w:r>
        <w:rPr>
          <w:rFonts w:eastAsia="黑体"/>
          <w:szCs w:val="32"/>
          <w:lang w:val="zh-CN"/>
        </w:rPr>
        <w:t>附件</w:t>
      </w:r>
      <w:r>
        <w:rPr>
          <w:rFonts w:eastAsia="黑体"/>
          <w:szCs w:val="32"/>
        </w:rPr>
        <w:t>2</w:t>
      </w:r>
    </w:p>
    <w:p w14:paraId="66587A07">
      <w:pPr>
        <w:widowControl/>
        <w:spacing w:line="580" w:lineRule="exact"/>
        <w:contextualSpacing/>
        <w:rPr>
          <w:rFonts w:eastAsia="宋体"/>
          <w:b/>
          <w:sz w:val="44"/>
          <w:szCs w:val="44"/>
          <w:shd w:val="clear" w:color="auto" w:fill="FFFFFF"/>
        </w:rPr>
      </w:pPr>
    </w:p>
    <w:p w14:paraId="1EA11165">
      <w:pPr>
        <w:widowControl/>
        <w:spacing w:line="580" w:lineRule="exact"/>
        <w:contextualSpacing/>
        <w:jc w:val="center"/>
        <w:rPr>
          <w:rFonts w:eastAsia="宋体"/>
          <w:b/>
          <w:sz w:val="44"/>
          <w:szCs w:val="44"/>
          <w:shd w:val="clear" w:color="auto" w:fill="FFFFFF"/>
        </w:rPr>
      </w:pPr>
      <w:r>
        <w:rPr>
          <w:rFonts w:hint="eastAsia" w:eastAsia="宋体"/>
          <w:b/>
          <w:sz w:val="44"/>
          <w:szCs w:val="44"/>
          <w:shd w:val="clear" w:color="auto" w:fill="FFFFFF"/>
        </w:rPr>
        <w:t>攀枝花市第十小学校</w:t>
      </w:r>
    </w:p>
    <w:p w14:paraId="20FF3F01">
      <w:pPr>
        <w:widowControl/>
        <w:spacing w:line="580" w:lineRule="exact"/>
        <w:contextualSpacing/>
        <w:jc w:val="center"/>
        <w:rPr>
          <w:rFonts w:eastAsia="宋体"/>
          <w:b/>
          <w:sz w:val="44"/>
          <w:szCs w:val="44"/>
          <w:shd w:val="clear" w:color="auto" w:fill="FFFFFF"/>
        </w:rPr>
      </w:pPr>
      <w:r>
        <w:rPr>
          <w:rFonts w:eastAsia="宋体"/>
          <w:b/>
          <w:sz w:val="44"/>
          <w:szCs w:val="44"/>
          <w:shd w:val="clear" w:color="auto" w:fill="FFFFFF"/>
        </w:rPr>
        <w:t>202</w:t>
      </w:r>
      <w:r>
        <w:rPr>
          <w:rFonts w:hint="eastAsia" w:eastAsia="宋体"/>
          <w:b/>
          <w:sz w:val="44"/>
          <w:szCs w:val="44"/>
          <w:shd w:val="clear" w:color="auto" w:fill="FFFFFF"/>
          <w:lang w:val="en-US" w:eastAsia="zh-CN"/>
        </w:rPr>
        <w:t>3</w:t>
      </w:r>
      <w:r>
        <w:rPr>
          <w:rFonts w:hint="eastAsia" w:eastAsia="宋体"/>
          <w:b/>
          <w:sz w:val="44"/>
          <w:szCs w:val="44"/>
          <w:shd w:val="clear" w:color="auto" w:fill="FFFFFF"/>
        </w:rPr>
        <w:t>年度预算</w:t>
      </w:r>
      <w:r>
        <w:rPr>
          <w:rFonts w:eastAsia="宋体"/>
          <w:b/>
          <w:sz w:val="44"/>
          <w:szCs w:val="44"/>
          <w:shd w:val="clear" w:color="auto" w:fill="FFFFFF"/>
        </w:rPr>
        <w:t>整体支出绩效评价报告</w:t>
      </w:r>
    </w:p>
    <w:p w14:paraId="7C3EE2F5">
      <w:pPr>
        <w:widowControl/>
        <w:adjustRightInd w:val="0"/>
        <w:snapToGrid w:val="0"/>
        <w:spacing w:line="580" w:lineRule="exact"/>
        <w:ind w:firstLine="480" w:firstLineChars="200"/>
        <w:contextualSpacing/>
        <w:jc w:val="left"/>
        <w:rPr>
          <w:rFonts w:eastAsia="黑体"/>
          <w:color w:val="000000"/>
          <w:kern w:val="0"/>
          <w:sz w:val="24"/>
          <w:szCs w:val="32"/>
          <w:shd w:val="clear" w:color="auto" w:fill="FFFFFF"/>
        </w:rPr>
      </w:pPr>
    </w:p>
    <w:p w14:paraId="5B144CD6">
      <w:pPr>
        <w:widowControl/>
        <w:adjustRightInd w:val="0"/>
        <w:snapToGrid w:val="0"/>
        <w:spacing w:line="580" w:lineRule="exact"/>
        <w:ind w:firstLine="848" w:firstLineChars="303"/>
        <w:contextualSpacing/>
        <w:jc w:val="left"/>
        <w:rPr>
          <w:rFonts w:ascii="楷体" w:hAnsi="楷体" w:eastAsia="楷体" w:cs="仿宋_GB2312"/>
          <w:color w:val="000000"/>
          <w:sz w:val="28"/>
          <w:szCs w:val="28"/>
          <w:shd w:val="clear" w:color="auto" w:fill="FFFFFF"/>
        </w:rPr>
      </w:pPr>
      <w:r>
        <w:rPr>
          <w:rFonts w:hint="eastAsia" w:ascii="楷体" w:hAnsi="楷体" w:eastAsia="楷体" w:cs="仿宋_GB2312"/>
          <w:color w:val="000000"/>
          <w:sz w:val="28"/>
          <w:szCs w:val="28"/>
          <w:shd w:val="clear" w:color="auto" w:fill="FFFFFF"/>
        </w:rPr>
        <w:t>一、单位</w:t>
      </w:r>
      <w:r>
        <w:rPr>
          <w:rFonts w:ascii="楷体" w:hAnsi="楷体" w:eastAsia="楷体" w:cs="仿宋_GB2312"/>
          <w:color w:val="000000"/>
          <w:sz w:val="28"/>
          <w:szCs w:val="28"/>
          <w:shd w:val="clear" w:color="auto" w:fill="FFFFFF"/>
        </w:rPr>
        <w:t>概况</w:t>
      </w:r>
    </w:p>
    <w:p w14:paraId="641E253D">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攀枝花市第十小学校是一所隶属于攀枝花市东区教育和体育局的公立小学，属于全额拨款事业单位。</w:t>
      </w:r>
    </w:p>
    <w:p w14:paraId="64EC2F56">
      <w:pPr>
        <w:pStyle w:val="17"/>
        <w:widowControl/>
        <w:numPr>
          <w:ilvl w:val="0"/>
          <w:numId w:val="1"/>
        </w:numPr>
        <w:adjustRightInd w:val="0"/>
        <w:snapToGrid w:val="0"/>
        <w:spacing w:line="580" w:lineRule="exact"/>
        <w:ind w:firstLineChars="0"/>
        <w:contextualSpacing/>
        <w:jc w:val="left"/>
        <w:rPr>
          <w:rFonts w:ascii="楷体" w:hAnsi="楷体" w:eastAsia="楷体" w:cs="仿宋_GB2312"/>
          <w:color w:val="000000"/>
          <w:sz w:val="28"/>
          <w:szCs w:val="28"/>
          <w:shd w:val="clear" w:color="auto" w:fill="FFFFFF"/>
        </w:rPr>
      </w:pPr>
      <w:r>
        <w:rPr>
          <w:rFonts w:ascii="楷体" w:hAnsi="楷体" w:eastAsia="楷体" w:cs="仿宋_GB2312"/>
          <w:color w:val="000000"/>
          <w:sz w:val="28"/>
          <w:szCs w:val="28"/>
          <w:shd w:val="clear" w:color="auto" w:fill="FFFFFF"/>
        </w:rPr>
        <w:t>机构组成。</w:t>
      </w:r>
    </w:p>
    <w:p w14:paraId="7B8D8937">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学校设校长书记1 人，专职副书记1人，副校长</w:t>
      </w:r>
      <w:r>
        <w:rPr>
          <w:rFonts w:hint="eastAsia" w:ascii="楷体" w:hAnsi="楷体" w:eastAsia="楷体"/>
          <w:color w:val="000000"/>
          <w:sz w:val="28"/>
          <w:szCs w:val="28"/>
          <w:shd w:val="clear" w:color="auto" w:fill="FFFFFF"/>
          <w:lang w:val="en-US" w:eastAsia="zh-CN"/>
        </w:rPr>
        <w:t>2</w:t>
      </w:r>
      <w:r>
        <w:rPr>
          <w:rFonts w:hint="eastAsia" w:ascii="楷体" w:hAnsi="楷体" w:eastAsia="楷体"/>
          <w:color w:val="000000"/>
          <w:sz w:val="28"/>
          <w:szCs w:val="28"/>
          <w:shd w:val="clear" w:color="auto" w:fill="FFFFFF"/>
        </w:rPr>
        <w:t>人，校长助理1人，工会主席1人。内设机构4个，分别是教导处、德育处、总务处、办公室。</w:t>
      </w:r>
    </w:p>
    <w:p w14:paraId="5A59259E">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ascii="楷体" w:hAnsi="楷体" w:eastAsia="楷体" w:cs="仿宋_GB2312"/>
          <w:color w:val="000000"/>
          <w:sz w:val="28"/>
          <w:szCs w:val="28"/>
          <w:shd w:val="clear" w:color="auto" w:fill="FFFFFF"/>
        </w:rPr>
        <w:t>（二）机构职能。</w:t>
      </w:r>
    </w:p>
    <w:p w14:paraId="423A60C3">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hint="eastAsia" w:ascii="楷体" w:hAnsi="楷体" w:eastAsia="楷体" w:cs="仿宋_GB2312"/>
          <w:color w:val="000000"/>
          <w:sz w:val="28"/>
          <w:szCs w:val="28"/>
          <w:shd w:val="clear" w:color="auto" w:fill="FFFFFF"/>
        </w:rPr>
        <w:t>1、主要职能为实施小学义务教育，促进基础教育发展，为学生儿童的德、智、体、美、劳等各种素质全面发展打下基础。</w:t>
      </w:r>
    </w:p>
    <w:p w14:paraId="04498C70">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hint="eastAsia" w:ascii="楷体" w:hAnsi="楷体" w:eastAsia="楷体" w:cs="仿宋_GB2312"/>
          <w:color w:val="000000"/>
          <w:sz w:val="28"/>
          <w:szCs w:val="28"/>
          <w:shd w:val="clear" w:color="auto" w:fill="FFFFFF"/>
        </w:rPr>
        <w:t>2、实施小学学历教育。</w:t>
      </w:r>
    </w:p>
    <w:p w14:paraId="085FA854">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hint="eastAsia" w:ascii="楷体" w:hAnsi="楷体" w:eastAsia="楷体" w:cs="仿宋_GB2312"/>
          <w:color w:val="000000"/>
          <w:sz w:val="28"/>
          <w:szCs w:val="28"/>
          <w:shd w:val="clear" w:color="auto" w:fill="FFFFFF"/>
        </w:rPr>
        <w:t>（三）</w:t>
      </w:r>
      <w:r>
        <w:rPr>
          <w:rFonts w:ascii="楷体" w:hAnsi="楷体" w:eastAsia="楷体" w:cs="仿宋_GB2312"/>
          <w:color w:val="000000"/>
          <w:sz w:val="28"/>
          <w:szCs w:val="28"/>
          <w:shd w:val="clear" w:color="auto" w:fill="FFFFFF"/>
        </w:rPr>
        <w:t>人员概况。</w:t>
      </w:r>
    </w:p>
    <w:p w14:paraId="59BE7ECD">
      <w:pPr>
        <w:pStyle w:val="3"/>
        <w:spacing w:line="600" w:lineRule="exact"/>
        <w:ind w:firstLine="560" w:firstLineChars="200"/>
        <w:jc w:val="left"/>
        <w:rPr>
          <w:rFonts w:ascii="楷体" w:hAnsi="楷体" w:eastAsia="楷体" w:cs="仿宋_GB2312"/>
          <w:color w:val="000000"/>
          <w:sz w:val="28"/>
          <w:szCs w:val="28"/>
          <w:shd w:val="clear" w:color="auto" w:fill="FFFFFF"/>
        </w:rPr>
      </w:pPr>
      <w:r>
        <w:rPr>
          <w:rFonts w:hint="eastAsia" w:ascii="楷体" w:hAnsi="楷体" w:eastAsia="楷体" w:cs="仿宋_GB2312"/>
          <w:color w:val="000000"/>
          <w:sz w:val="28"/>
          <w:szCs w:val="28"/>
          <w:shd w:val="clear" w:color="auto" w:fill="FFFFFF"/>
        </w:rPr>
        <w:t>学校编制5</w:t>
      </w:r>
      <w:r>
        <w:rPr>
          <w:rFonts w:ascii="楷体" w:hAnsi="楷体" w:eastAsia="楷体" w:cs="仿宋_GB2312"/>
          <w:color w:val="000000"/>
          <w:sz w:val="28"/>
          <w:szCs w:val="28"/>
          <w:shd w:val="clear" w:color="auto" w:fill="FFFFFF"/>
        </w:rPr>
        <w:t>5</w:t>
      </w:r>
      <w:r>
        <w:rPr>
          <w:rFonts w:hint="eastAsia" w:ascii="楷体" w:hAnsi="楷体" w:eastAsia="楷体" w:cs="仿宋_GB2312"/>
          <w:color w:val="000000"/>
          <w:sz w:val="28"/>
          <w:szCs w:val="28"/>
          <w:shd w:val="clear" w:color="auto" w:fill="FFFFFF"/>
        </w:rPr>
        <w:t>人，202</w:t>
      </w:r>
      <w:r>
        <w:rPr>
          <w:rFonts w:hint="eastAsia" w:ascii="楷体" w:hAnsi="楷体" w:eastAsia="楷体" w:cs="仿宋_GB2312"/>
          <w:color w:val="000000"/>
          <w:sz w:val="28"/>
          <w:szCs w:val="28"/>
          <w:shd w:val="clear" w:color="auto" w:fill="FFFFFF"/>
          <w:lang w:val="en-US" w:eastAsia="zh-CN"/>
        </w:rPr>
        <w:t>3</w:t>
      </w:r>
      <w:r>
        <w:rPr>
          <w:rFonts w:hint="eastAsia" w:ascii="楷体" w:hAnsi="楷体" w:eastAsia="楷体" w:cs="仿宋_GB2312"/>
          <w:color w:val="000000"/>
          <w:sz w:val="28"/>
          <w:szCs w:val="28"/>
          <w:shd w:val="clear" w:color="auto" w:fill="FFFFFF"/>
        </w:rPr>
        <w:t>年末实有教职工</w:t>
      </w:r>
      <w:r>
        <w:rPr>
          <w:rFonts w:ascii="楷体" w:hAnsi="楷体" w:eastAsia="楷体" w:cs="仿宋_GB2312"/>
          <w:color w:val="000000"/>
          <w:sz w:val="28"/>
          <w:szCs w:val="28"/>
          <w:shd w:val="clear" w:color="auto" w:fill="FFFFFF"/>
        </w:rPr>
        <w:t>60</w:t>
      </w:r>
      <w:r>
        <w:rPr>
          <w:rFonts w:hint="eastAsia" w:ascii="楷体" w:hAnsi="楷体" w:eastAsia="楷体" w:cs="仿宋_GB2312"/>
          <w:color w:val="000000"/>
          <w:sz w:val="28"/>
          <w:szCs w:val="28"/>
          <w:shd w:val="clear" w:color="auto" w:fill="FFFFFF"/>
        </w:rPr>
        <w:t>人，</w:t>
      </w:r>
      <w:r>
        <w:rPr>
          <w:rFonts w:hint="eastAsia" w:ascii="楷体" w:hAnsi="楷体" w:eastAsia="楷体"/>
          <w:color w:val="000000"/>
          <w:sz w:val="28"/>
          <w:szCs w:val="28"/>
          <w:shd w:val="clear" w:color="auto" w:fill="FFFFFF"/>
        </w:rPr>
        <w:t>区聘教师4人，自聘教职工</w:t>
      </w:r>
      <w:r>
        <w:rPr>
          <w:rFonts w:hint="eastAsia" w:ascii="楷体" w:hAnsi="楷体" w:eastAsia="楷体"/>
          <w:color w:val="000000"/>
          <w:sz w:val="28"/>
          <w:szCs w:val="28"/>
          <w:shd w:val="clear" w:color="auto" w:fill="FFFFFF"/>
          <w:lang w:val="en-US" w:eastAsia="zh-CN"/>
        </w:rPr>
        <w:t>7</w:t>
      </w:r>
      <w:r>
        <w:rPr>
          <w:rFonts w:hint="eastAsia" w:ascii="楷体" w:hAnsi="楷体" w:eastAsia="楷体"/>
          <w:color w:val="000000"/>
          <w:sz w:val="28"/>
          <w:szCs w:val="28"/>
          <w:shd w:val="clear" w:color="auto" w:fill="FFFFFF"/>
        </w:rPr>
        <w:t>人</w:t>
      </w:r>
      <w:r>
        <w:rPr>
          <w:rFonts w:hint="eastAsia" w:ascii="楷体" w:hAnsi="楷体" w:eastAsia="楷体" w:cs="仿宋_GB2312"/>
          <w:color w:val="000000"/>
          <w:sz w:val="28"/>
          <w:szCs w:val="28"/>
          <w:shd w:val="clear" w:color="auto" w:fill="FFFFFF"/>
        </w:rPr>
        <w:t>，退休职工</w:t>
      </w:r>
      <w:r>
        <w:rPr>
          <w:rFonts w:ascii="楷体" w:hAnsi="楷体" w:eastAsia="楷体" w:cs="仿宋_GB2312"/>
          <w:color w:val="000000"/>
          <w:sz w:val="28"/>
          <w:szCs w:val="28"/>
          <w:shd w:val="clear" w:color="auto" w:fill="FFFFFF"/>
        </w:rPr>
        <w:t>8</w:t>
      </w:r>
      <w:r>
        <w:rPr>
          <w:rFonts w:hint="eastAsia" w:ascii="楷体" w:hAnsi="楷体" w:eastAsia="楷体" w:cs="仿宋_GB2312"/>
          <w:color w:val="000000"/>
          <w:sz w:val="28"/>
          <w:szCs w:val="28"/>
          <w:shd w:val="clear" w:color="auto" w:fill="FFFFFF"/>
          <w:lang w:val="en-US" w:eastAsia="zh-CN"/>
        </w:rPr>
        <w:t>3</w:t>
      </w:r>
      <w:r>
        <w:rPr>
          <w:rFonts w:hint="eastAsia" w:ascii="楷体" w:hAnsi="楷体" w:eastAsia="楷体" w:cs="仿宋_GB2312"/>
          <w:color w:val="000000"/>
          <w:sz w:val="28"/>
          <w:szCs w:val="28"/>
          <w:shd w:val="clear" w:color="auto" w:fill="FFFFFF"/>
        </w:rPr>
        <w:t>人，</w:t>
      </w:r>
      <w:r>
        <w:rPr>
          <w:rFonts w:hint="eastAsia" w:ascii="楷体" w:hAnsi="楷体" w:eastAsia="楷体" w:cs="仿宋_GB2312"/>
          <w:color w:val="000000"/>
          <w:sz w:val="28"/>
          <w:szCs w:val="28"/>
          <w:shd w:val="clear" w:color="auto" w:fill="FFFFFF"/>
          <w:lang w:val="en-US" w:eastAsia="zh-CN"/>
        </w:rPr>
        <w:t>比较2022年</w:t>
      </w:r>
      <w:r>
        <w:rPr>
          <w:rFonts w:hint="eastAsia" w:ascii="楷体" w:hAnsi="楷体" w:eastAsia="楷体" w:cs="仿宋_GB2312"/>
          <w:color w:val="000000"/>
          <w:sz w:val="28"/>
          <w:szCs w:val="28"/>
          <w:shd w:val="clear" w:color="auto" w:fill="FFFFFF"/>
        </w:rPr>
        <w:t>新分教师</w:t>
      </w:r>
      <w:r>
        <w:rPr>
          <w:rFonts w:hint="eastAsia" w:ascii="楷体" w:hAnsi="楷体" w:eastAsia="楷体" w:cs="仿宋_GB2312"/>
          <w:color w:val="000000"/>
          <w:sz w:val="28"/>
          <w:szCs w:val="28"/>
          <w:shd w:val="clear" w:color="auto" w:fill="FFFFFF"/>
          <w:lang w:val="en-US" w:eastAsia="zh-CN"/>
        </w:rPr>
        <w:t>1</w:t>
      </w:r>
      <w:r>
        <w:rPr>
          <w:rFonts w:hint="eastAsia" w:ascii="楷体" w:hAnsi="楷体" w:eastAsia="楷体" w:cs="仿宋_GB2312"/>
          <w:color w:val="000000"/>
          <w:sz w:val="28"/>
          <w:szCs w:val="28"/>
          <w:shd w:val="clear" w:color="auto" w:fill="FFFFFF"/>
        </w:rPr>
        <w:t>人，调入</w:t>
      </w:r>
      <w:r>
        <w:rPr>
          <w:rFonts w:hint="eastAsia" w:ascii="楷体" w:hAnsi="楷体" w:eastAsia="楷体" w:cs="仿宋_GB2312"/>
          <w:color w:val="000000"/>
          <w:sz w:val="28"/>
          <w:szCs w:val="28"/>
          <w:shd w:val="clear" w:color="auto" w:fill="FFFFFF"/>
          <w:lang w:val="en-US" w:eastAsia="zh-CN"/>
        </w:rPr>
        <w:t>3</w:t>
      </w:r>
      <w:r>
        <w:rPr>
          <w:rFonts w:hint="eastAsia" w:ascii="楷体" w:hAnsi="楷体" w:eastAsia="楷体" w:cs="仿宋_GB2312"/>
          <w:color w:val="000000"/>
          <w:sz w:val="28"/>
          <w:szCs w:val="28"/>
          <w:shd w:val="clear" w:color="auto" w:fill="FFFFFF"/>
        </w:rPr>
        <w:t>人，</w:t>
      </w:r>
      <w:r>
        <w:rPr>
          <w:rFonts w:hint="eastAsia" w:ascii="楷体" w:hAnsi="楷体" w:eastAsia="楷体" w:cs="仿宋_GB2312"/>
          <w:color w:val="000000"/>
          <w:sz w:val="28"/>
          <w:szCs w:val="28"/>
          <w:shd w:val="clear" w:color="auto" w:fill="FFFFFF"/>
          <w:lang w:val="en-US" w:eastAsia="zh-CN"/>
        </w:rPr>
        <w:t>辞职1人，</w:t>
      </w:r>
      <w:r>
        <w:rPr>
          <w:rFonts w:hint="eastAsia" w:ascii="楷体" w:hAnsi="楷体" w:eastAsia="楷体" w:cs="仿宋_GB2312"/>
          <w:color w:val="000000"/>
          <w:sz w:val="28"/>
          <w:szCs w:val="28"/>
          <w:shd w:val="clear" w:color="auto" w:fill="FFFFFF"/>
        </w:rPr>
        <w:t>调出</w:t>
      </w:r>
      <w:r>
        <w:rPr>
          <w:rFonts w:hint="eastAsia" w:ascii="楷体" w:hAnsi="楷体" w:eastAsia="楷体" w:cs="仿宋_GB2312"/>
          <w:color w:val="000000"/>
          <w:sz w:val="28"/>
          <w:szCs w:val="28"/>
          <w:shd w:val="clear" w:color="auto" w:fill="FFFFFF"/>
          <w:lang w:val="en-US" w:eastAsia="zh-CN"/>
        </w:rPr>
        <w:t>2</w:t>
      </w:r>
      <w:r>
        <w:rPr>
          <w:rFonts w:hint="eastAsia" w:ascii="楷体" w:hAnsi="楷体" w:eastAsia="楷体" w:cs="仿宋_GB2312"/>
          <w:color w:val="000000"/>
          <w:sz w:val="28"/>
          <w:szCs w:val="28"/>
          <w:shd w:val="clear" w:color="auto" w:fill="FFFFFF"/>
        </w:rPr>
        <w:t>人，新增退休</w:t>
      </w:r>
      <w:r>
        <w:rPr>
          <w:rFonts w:hint="eastAsia" w:ascii="楷体" w:hAnsi="楷体" w:eastAsia="楷体" w:cs="仿宋_GB2312"/>
          <w:color w:val="000000"/>
          <w:sz w:val="28"/>
          <w:szCs w:val="28"/>
          <w:shd w:val="clear" w:color="auto" w:fill="FFFFFF"/>
          <w:lang w:val="en-US" w:eastAsia="zh-CN"/>
        </w:rPr>
        <w:t>2</w:t>
      </w:r>
      <w:r>
        <w:rPr>
          <w:rFonts w:hint="eastAsia" w:ascii="楷体" w:hAnsi="楷体" w:eastAsia="楷体" w:cs="仿宋_GB2312"/>
          <w:color w:val="000000"/>
          <w:sz w:val="28"/>
          <w:szCs w:val="28"/>
          <w:shd w:val="clear" w:color="auto" w:fill="FFFFFF"/>
        </w:rPr>
        <w:t>人。学生</w:t>
      </w:r>
      <w:r>
        <w:rPr>
          <w:rFonts w:ascii="楷体" w:hAnsi="楷体" w:eastAsia="楷体" w:cs="仿宋_GB2312"/>
          <w:color w:val="000000"/>
          <w:sz w:val="28"/>
          <w:szCs w:val="28"/>
          <w:shd w:val="clear" w:color="auto" w:fill="FFFFFF"/>
        </w:rPr>
        <w:t>1</w:t>
      </w:r>
      <w:r>
        <w:rPr>
          <w:rFonts w:hint="eastAsia" w:ascii="楷体" w:hAnsi="楷体" w:eastAsia="楷体" w:cs="仿宋_GB2312"/>
          <w:color w:val="000000"/>
          <w:sz w:val="28"/>
          <w:szCs w:val="28"/>
          <w:shd w:val="clear" w:color="auto" w:fill="FFFFFF"/>
          <w:lang w:val="en-US" w:eastAsia="zh-CN"/>
        </w:rPr>
        <w:t>161</w:t>
      </w:r>
      <w:r>
        <w:rPr>
          <w:rFonts w:hint="eastAsia" w:ascii="楷体" w:hAnsi="楷体" w:eastAsia="楷体" w:cs="仿宋_GB2312"/>
          <w:color w:val="000000"/>
          <w:sz w:val="28"/>
          <w:szCs w:val="28"/>
          <w:shd w:val="clear" w:color="auto" w:fill="FFFFFF"/>
        </w:rPr>
        <w:t>人，</w:t>
      </w:r>
      <w:r>
        <w:rPr>
          <w:rFonts w:ascii="楷体" w:hAnsi="楷体" w:eastAsia="楷体" w:cs="仿宋_GB2312"/>
          <w:color w:val="000000"/>
          <w:sz w:val="28"/>
          <w:szCs w:val="28"/>
          <w:shd w:val="clear" w:color="auto" w:fill="FFFFFF"/>
        </w:rPr>
        <w:t>2</w:t>
      </w:r>
      <w:r>
        <w:rPr>
          <w:rFonts w:hint="eastAsia" w:ascii="楷体" w:hAnsi="楷体" w:eastAsia="楷体" w:cs="仿宋_GB2312"/>
          <w:color w:val="000000"/>
          <w:sz w:val="28"/>
          <w:szCs w:val="28"/>
          <w:shd w:val="clear" w:color="auto" w:fill="FFFFFF"/>
          <w:lang w:val="en-US" w:eastAsia="zh-CN"/>
        </w:rPr>
        <w:t>6</w:t>
      </w:r>
      <w:r>
        <w:rPr>
          <w:rFonts w:hint="eastAsia" w:ascii="楷体" w:hAnsi="楷体" w:eastAsia="楷体" w:cs="仿宋_GB2312"/>
          <w:color w:val="000000"/>
          <w:sz w:val="28"/>
          <w:szCs w:val="28"/>
          <w:shd w:val="clear" w:color="auto" w:fill="FFFFFF"/>
        </w:rPr>
        <w:t xml:space="preserve">个教学班， </w:t>
      </w:r>
    </w:p>
    <w:p w14:paraId="5894E739">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ascii="楷体" w:hAnsi="楷体" w:eastAsia="楷体" w:cs="仿宋_GB2312"/>
          <w:color w:val="000000"/>
          <w:sz w:val="28"/>
          <w:szCs w:val="28"/>
          <w:shd w:val="clear" w:color="auto" w:fill="FFFFFF"/>
        </w:rPr>
        <w:t>二、部门财政资金收支情况</w:t>
      </w:r>
    </w:p>
    <w:p w14:paraId="34F5250F">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ascii="楷体" w:hAnsi="楷体" w:eastAsia="楷体" w:cs="仿宋_GB2312"/>
          <w:color w:val="000000"/>
          <w:sz w:val="28"/>
          <w:szCs w:val="28"/>
          <w:shd w:val="clear" w:color="auto" w:fill="FFFFFF"/>
        </w:rPr>
        <w:t>（一）部门财政资金收入情况。</w:t>
      </w:r>
    </w:p>
    <w:p w14:paraId="18D754A3">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themeColor="text1"/>
          <w:sz w:val="28"/>
          <w:szCs w:val="28"/>
          <w:shd w:val="clear" w:color="auto" w:fill="FFFFFF"/>
          <w14:textFill>
            <w14:solidFill>
              <w14:schemeClr w14:val="tx1"/>
            </w14:solidFill>
          </w14:textFill>
        </w:rPr>
        <w:t>202</w:t>
      </w:r>
      <w:r>
        <w:rPr>
          <w:rFonts w:hint="eastAsia" w:ascii="楷体" w:hAnsi="楷体" w:eastAsia="楷体"/>
          <w:color w:val="000000" w:themeColor="text1"/>
          <w:sz w:val="28"/>
          <w:szCs w:val="28"/>
          <w:shd w:val="clear" w:color="auto" w:fill="FFFFFF"/>
          <w:lang w:val="en-US" w:eastAsia="zh-CN"/>
          <w14:textFill>
            <w14:solidFill>
              <w14:schemeClr w14:val="tx1"/>
            </w14:solidFill>
          </w14:textFill>
        </w:rPr>
        <w:t>3</w:t>
      </w:r>
      <w:r>
        <w:rPr>
          <w:rFonts w:hint="eastAsia" w:ascii="楷体" w:hAnsi="楷体" w:eastAsia="楷体"/>
          <w:color w:val="000000" w:themeColor="text1"/>
          <w:sz w:val="28"/>
          <w:szCs w:val="28"/>
          <w:shd w:val="clear" w:color="auto" w:fill="FFFFFF"/>
          <w14:textFill>
            <w14:solidFill>
              <w14:schemeClr w14:val="tx1"/>
            </w14:solidFill>
          </w14:textFill>
        </w:rPr>
        <w:t>年攀枝花市第十小学校收入总额为</w:t>
      </w:r>
      <w:r>
        <w:rPr>
          <w:rFonts w:hint="eastAsia" w:ascii="楷体" w:hAnsi="楷体" w:eastAsia="楷体"/>
          <w:color w:val="000000" w:themeColor="text1"/>
          <w:sz w:val="28"/>
          <w:szCs w:val="28"/>
          <w:shd w:val="clear" w:color="auto" w:fill="FFFFFF"/>
          <w:lang w:val="en-US" w:eastAsia="zh-CN"/>
          <w14:textFill>
            <w14:solidFill>
              <w14:schemeClr w14:val="tx1"/>
            </w14:solidFill>
          </w14:textFill>
        </w:rPr>
        <w:t>1231.42</w:t>
      </w:r>
      <w:r>
        <w:rPr>
          <w:rFonts w:hint="eastAsia" w:ascii="楷体" w:hAnsi="楷体" w:eastAsia="楷体"/>
          <w:color w:val="000000" w:themeColor="text1"/>
          <w:sz w:val="28"/>
          <w:szCs w:val="28"/>
          <w:shd w:val="clear" w:color="auto" w:fill="FFFFFF"/>
          <w14:textFill>
            <w14:solidFill>
              <w14:schemeClr w14:val="tx1"/>
            </w14:solidFill>
          </w14:textFill>
        </w:rPr>
        <w:t>万元,相应安排支出预算</w:t>
      </w:r>
      <w:r>
        <w:rPr>
          <w:rFonts w:hint="eastAsia" w:ascii="楷体" w:hAnsi="楷体" w:eastAsia="楷体"/>
          <w:color w:val="000000" w:themeColor="text1"/>
          <w:sz w:val="28"/>
          <w:szCs w:val="28"/>
          <w:shd w:val="clear" w:color="auto" w:fill="FFFFFF"/>
          <w:lang w:val="en-US" w:eastAsia="zh-CN"/>
          <w14:textFill>
            <w14:solidFill>
              <w14:schemeClr w14:val="tx1"/>
            </w14:solidFill>
          </w14:textFill>
        </w:rPr>
        <w:t>1231.42</w:t>
      </w:r>
      <w:r>
        <w:rPr>
          <w:rFonts w:hint="eastAsia" w:ascii="楷体" w:hAnsi="楷体" w:eastAsia="楷体"/>
          <w:color w:val="000000" w:themeColor="text1"/>
          <w:sz w:val="28"/>
          <w:szCs w:val="28"/>
          <w:shd w:val="clear" w:color="auto" w:fill="FFFFFF"/>
          <w14:textFill>
            <w14:solidFill>
              <w14:schemeClr w14:val="tx1"/>
            </w14:solidFill>
          </w14:textFill>
        </w:rPr>
        <w:t>万元，其中：一、教育支出</w:t>
      </w:r>
      <w:r>
        <w:rPr>
          <w:rFonts w:hint="eastAsia" w:ascii="楷体" w:hAnsi="楷体" w:eastAsia="楷体"/>
          <w:color w:val="000000" w:themeColor="text1"/>
          <w:sz w:val="28"/>
          <w:szCs w:val="28"/>
          <w:shd w:val="clear" w:color="auto" w:fill="FFFFFF"/>
          <w:lang w:val="en-US" w:eastAsia="zh-CN"/>
          <w14:textFill>
            <w14:solidFill>
              <w14:schemeClr w14:val="tx1"/>
            </w14:solidFill>
          </w14:textFill>
        </w:rPr>
        <w:t>888.84</w:t>
      </w:r>
      <w:r>
        <w:rPr>
          <w:rFonts w:hint="eastAsia" w:ascii="楷体" w:hAnsi="楷体" w:eastAsia="楷体"/>
          <w:color w:val="000000" w:themeColor="text1"/>
          <w:sz w:val="28"/>
          <w:szCs w:val="28"/>
          <w:shd w:val="clear" w:color="auto" w:fill="FFFFFF"/>
          <w14:textFill>
            <w14:solidFill>
              <w14:schemeClr w14:val="tx1"/>
            </w14:solidFill>
          </w14:textFill>
        </w:rPr>
        <w:t>万元，二、卫生健康支出</w:t>
      </w:r>
      <w:r>
        <w:rPr>
          <w:rFonts w:hint="eastAsia" w:ascii="楷体" w:hAnsi="楷体" w:eastAsia="楷体"/>
          <w:color w:val="000000" w:themeColor="text1"/>
          <w:sz w:val="28"/>
          <w:szCs w:val="28"/>
          <w:shd w:val="clear" w:color="auto" w:fill="FFFFFF"/>
          <w:lang w:val="en-US" w:eastAsia="zh-CN"/>
          <w14:textFill>
            <w14:solidFill>
              <w14:schemeClr w14:val="tx1"/>
            </w14:solidFill>
          </w14:textFill>
        </w:rPr>
        <w:t>120.09</w:t>
      </w:r>
      <w:r>
        <w:rPr>
          <w:rFonts w:hint="eastAsia" w:ascii="楷体" w:hAnsi="楷体" w:eastAsia="楷体"/>
          <w:color w:val="000000" w:themeColor="text1"/>
          <w:sz w:val="28"/>
          <w:szCs w:val="28"/>
          <w:shd w:val="clear" w:color="auto" w:fill="FFFFFF"/>
          <w14:textFill>
            <w14:solidFill>
              <w14:schemeClr w14:val="tx1"/>
            </w14:solidFill>
          </w14:textFill>
        </w:rPr>
        <w:t>万元，三、住房保障支出</w:t>
      </w:r>
      <w:r>
        <w:rPr>
          <w:rFonts w:hint="eastAsia" w:ascii="楷体" w:hAnsi="楷体" w:eastAsia="楷体"/>
          <w:color w:val="000000" w:themeColor="text1"/>
          <w:sz w:val="28"/>
          <w:szCs w:val="28"/>
          <w:shd w:val="clear" w:color="auto" w:fill="FFFFFF"/>
          <w:lang w:val="en-US" w:eastAsia="zh-CN"/>
          <w14:textFill>
            <w14:solidFill>
              <w14:schemeClr w14:val="tx1"/>
            </w14:solidFill>
          </w14:textFill>
        </w:rPr>
        <w:t>81.20</w:t>
      </w:r>
      <w:r>
        <w:rPr>
          <w:rFonts w:hint="eastAsia" w:ascii="楷体" w:hAnsi="楷体" w:eastAsia="楷体"/>
          <w:color w:val="000000" w:themeColor="text1"/>
          <w:sz w:val="28"/>
          <w:szCs w:val="28"/>
          <w:shd w:val="clear" w:color="auto" w:fill="FFFFFF"/>
          <w14:textFill>
            <w14:solidFill>
              <w14:schemeClr w14:val="tx1"/>
            </w14:solidFill>
          </w14:textFill>
        </w:rPr>
        <w:t>万元。四、社会保障和就业支出</w:t>
      </w:r>
      <w:r>
        <w:rPr>
          <w:rFonts w:hint="eastAsia" w:ascii="楷体" w:hAnsi="楷体" w:eastAsia="楷体"/>
          <w:color w:val="000000" w:themeColor="text1"/>
          <w:sz w:val="28"/>
          <w:szCs w:val="28"/>
          <w:shd w:val="clear" w:color="auto" w:fill="FFFFFF"/>
          <w:lang w:val="en-US" w:eastAsia="zh-CN"/>
          <w14:textFill>
            <w14:solidFill>
              <w14:schemeClr w14:val="tx1"/>
            </w14:solidFill>
          </w14:textFill>
        </w:rPr>
        <w:t>141.28</w:t>
      </w:r>
      <w:r>
        <w:rPr>
          <w:rFonts w:hint="eastAsia" w:ascii="楷体" w:hAnsi="楷体" w:eastAsia="楷体"/>
          <w:color w:val="000000" w:themeColor="text1"/>
          <w:sz w:val="28"/>
          <w:szCs w:val="28"/>
          <w:shd w:val="clear" w:color="auto" w:fill="FFFFFF"/>
          <w14:textFill>
            <w14:solidFill>
              <w14:schemeClr w14:val="tx1"/>
            </w14:solidFill>
          </w14:textFill>
        </w:rPr>
        <w:t>万元</w:t>
      </w:r>
      <w:r>
        <w:rPr>
          <w:rFonts w:hint="eastAsia" w:ascii="楷体" w:hAnsi="楷体" w:eastAsia="楷体"/>
          <w:color w:val="000000"/>
          <w:sz w:val="28"/>
          <w:szCs w:val="28"/>
          <w:shd w:val="clear" w:color="auto" w:fill="FFFFFF"/>
        </w:rPr>
        <w:t>。</w:t>
      </w:r>
    </w:p>
    <w:p w14:paraId="0371F39F">
      <w:pPr>
        <w:pStyle w:val="20"/>
        <w:ind w:left="243" w:firstLine="560" w:firstLineChars="200"/>
        <w:rPr>
          <w:rFonts w:ascii="楷体" w:hAnsi="楷体" w:eastAsia="楷体"/>
          <w:color w:val="000000" w:themeColor="text1"/>
          <w:sz w:val="28"/>
          <w:szCs w:val="28"/>
          <w:shd w:val="clear" w:color="auto" w:fill="FFFFFF"/>
          <w14:textFill>
            <w14:solidFill>
              <w14:schemeClr w14:val="tx1"/>
            </w14:solidFill>
          </w14:textFill>
        </w:rPr>
      </w:pPr>
      <w:r>
        <w:rPr>
          <w:rFonts w:hint="eastAsia" w:ascii="楷体" w:hAnsi="楷体" w:eastAsia="楷体"/>
          <w:color w:val="000000" w:themeColor="text1"/>
          <w:sz w:val="28"/>
          <w:szCs w:val="28"/>
          <w:shd w:val="clear" w:color="auto" w:fill="FFFFFF"/>
          <w14:textFill>
            <w14:solidFill>
              <w14:schemeClr w14:val="tx1"/>
            </w14:solidFill>
          </w14:textFill>
        </w:rPr>
        <w:t>202</w:t>
      </w:r>
      <w:r>
        <w:rPr>
          <w:rFonts w:hint="eastAsia" w:ascii="楷体" w:hAnsi="楷体" w:eastAsia="楷体"/>
          <w:color w:val="000000" w:themeColor="text1"/>
          <w:sz w:val="28"/>
          <w:szCs w:val="28"/>
          <w:shd w:val="clear" w:color="auto" w:fill="FFFFFF"/>
          <w:lang w:val="en-US" w:eastAsia="zh-CN"/>
          <w14:textFill>
            <w14:solidFill>
              <w14:schemeClr w14:val="tx1"/>
            </w14:solidFill>
          </w14:textFill>
        </w:rPr>
        <w:t>3</w:t>
      </w:r>
      <w:r>
        <w:rPr>
          <w:rFonts w:hint="eastAsia" w:ascii="楷体" w:hAnsi="楷体" w:eastAsia="楷体"/>
          <w:color w:val="000000" w:themeColor="text1"/>
          <w:sz w:val="28"/>
          <w:szCs w:val="28"/>
          <w:shd w:val="clear" w:color="auto" w:fill="FFFFFF"/>
          <w14:textFill>
            <w14:solidFill>
              <w14:schemeClr w14:val="tx1"/>
            </w14:solidFill>
          </w14:textFill>
        </w:rPr>
        <w:t>年学校财政资金年初预算</w:t>
      </w:r>
      <w:r>
        <w:rPr>
          <w:rFonts w:hint="eastAsia" w:ascii="楷体" w:hAnsi="楷体" w:eastAsia="楷体"/>
          <w:color w:val="000000" w:themeColor="text1"/>
          <w:sz w:val="28"/>
          <w:szCs w:val="28"/>
          <w:shd w:val="clear" w:color="auto" w:fill="FFFFFF"/>
          <w:lang w:val="en-US" w:eastAsia="zh-CN"/>
          <w14:textFill>
            <w14:solidFill>
              <w14:schemeClr w14:val="tx1"/>
            </w14:solidFill>
          </w14:textFill>
        </w:rPr>
        <w:t>1231.42</w:t>
      </w:r>
      <w:r>
        <w:rPr>
          <w:rFonts w:hint="eastAsia" w:ascii="楷体" w:hAnsi="楷体" w:eastAsia="楷体"/>
          <w:color w:val="000000" w:themeColor="text1"/>
          <w:sz w:val="28"/>
          <w:szCs w:val="28"/>
          <w:shd w:val="clear" w:color="auto" w:fill="FFFFFF"/>
          <w14:textFill>
            <w14:solidFill>
              <w14:schemeClr w14:val="tx1"/>
            </w14:solidFill>
          </w14:textFill>
        </w:rPr>
        <w:t>万元，全年实际预算收入</w:t>
      </w:r>
      <w:r>
        <w:rPr>
          <w:rFonts w:hint="eastAsia" w:ascii="楷体" w:hAnsi="楷体" w:eastAsia="楷体"/>
          <w:color w:val="000000" w:themeColor="text1"/>
          <w:sz w:val="28"/>
          <w:szCs w:val="28"/>
          <w:shd w:val="clear" w:color="auto" w:fill="FFFFFF"/>
          <w:lang w:val="en-US" w:eastAsia="zh-CN"/>
          <w14:textFill>
            <w14:solidFill>
              <w14:schemeClr w14:val="tx1"/>
            </w14:solidFill>
          </w14:textFill>
        </w:rPr>
        <w:t>1231.42</w:t>
      </w:r>
      <w:r>
        <w:rPr>
          <w:rFonts w:hint="eastAsia" w:ascii="楷体" w:hAnsi="楷体" w:eastAsia="楷体"/>
          <w:color w:val="000000" w:themeColor="text1"/>
          <w:sz w:val="28"/>
          <w:szCs w:val="28"/>
          <w:shd w:val="clear" w:color="auto" w:fill="FFFFFF"/>
          <w14:textFill>
            <w14:solidFill>
              <w14:schemeClr w14:val="tx1"/>
            </w14:solidFill>
          </w14:textFill>
        </w:rPr>
        <w:t>万元，其中一般公共预算拨款</w:t>
      </w:r>
      <w:r>
        <w:rPr>
          <w:rFonts w:hint="eastAsia" w:ascii="楷体" w:hAnsi="楷体" w:eastAsia="楷体"/>
          <w:color w:val="000000" w:themeColor="text1"/>
          <w:sz w:val="28"/>
          <w:szCs w:val="28"/>
          <w:shd w:val="clear" w:color="auto" w:fill="FFFFFF"/>
          <w:lang w:val="en-US" w:eastAsia="zh-CN"/>
          <w14:textFill>
            <w14:solidFill>
              <w14:schemeClr w14:val="tx1"/>
            </w14:solidFill>
          </w14:textFill>
        </w:rPr>
        <w:t>1231.42</w:t>
      </w:r>
      <w:r>
        <w:rPr>
          <w:rFonts w:hint="eastAsia" w:ascii="楷体" w:hAnsi="楷体" w:eastAsia="楷体"/>
          <w:color w:val="000000" w:themeColor="text1"/>
          <w:sz w:val="28"/>
          <w:szCs w:val="28"/>
          <w:shd w:val="clear" w:color="auto" w:fill="FFFFFF"/>
          <w14:textFill>
            <w14:solidFill>
              <w14:schemeClr w14:val="tx1"/>
            </w14:solidFill>
          </w14:textFill>
        </w:rPr>
        <w:t>万元，预算盘活资金与上年结转和结余资金</w:t>
      </w:r>
      <w:r>
        <w:rPr>
          <w:rFonts w:ascii="楷体" w:hAnsi="楷体" w:eastAsia="楷体"/>
          <w:color w:val="000000" w:themeColor="text1"/>
          <w:sz w:val="28"/>
          <w:szCs w:val="28"/>
          <w:shd w:val="clear" w:color="auto" w:fill="FFFFFF"/>
          <w14:textFill>
            <w14:solidFill>
              <w14:schemeClr w14:val="tx1"/>
            </w14:solidFill>
          </w14:textFill>
        </w:rPr>
        <w:t>0</w:t>
      </w:r>
      <w:r>
        <w:rPr>
          <w:rFonts w:hint="eastAsia" w:ascii="楷体" w:hAnsi="楷体" w:eastAsia="楷体"/>
          <w:color w:val="000000" w:themeColor="text1"/>
          <w:sz w:val="28"/>
          <w:szCs w:val="28"/>
          <w:shd w:val="clear" w:color="auto" w:fill="FFFFFF"/>
          <w14:textFill>
            <w14:solidFill>
              <w14:schemeClr w14:val="tx1"/>
            </w14:solidFill>
          </w14:textFill>
        </w:rPr>
        <w:t>万元。</w:t>
      </w:r>
    </w:p>
    <w:p w14:paraId="0F8B4DCD">
      <w:pPr>
        <w:pStyle w:val="17"/>
        <w:widowControl/>
        <w:numPr>
          <w:ilvl w:val="0"/>
          <w:numId w:val="1"/>
        </w:numPr>
        <w:adjustRightInd w:val="0"/>
        <w:snapToGrid w:val="0"/>
        <w:spacing w:line="580" w:lineRule="exact"/>
        <w:ind w:firstLineChars="0"/>
        <w:contextualSpacing/>
        <w:jc w:val="left"/>
        <w:rPr>
          <w:rFonts w:ascii="楷体" w:hAnsi="楷体" w:eastAsia="楷体" w:cs="仿宋_GB2312"/>
          <w:color w:val="000000"/>
          <w:sz w:val="28"/>
          <w:szCs w:val="28"/>
          <w:shd w:val="clear" w:color="auto" w:fill="FFFFFF"/>
        </w:rPr>
      </w:pPr>
      <w:r>
        <w:rPr>
          <w:rFonts w:ascii="楷体" w:hAnsi="楷体" w:eastAsia="楷体" w:cs="仿宋_GB2312"/>
          <w:color w:val="000000"/>
          <w:sz w:val="28"/>
          <w:szCs w:val="28"/>
          <w:shd w:val="clear" w:color="auto" w:fill="FFFFFF"/>
        </w:rPr>
        <w:t>部门财政资金支出情况。</w:t>
      </w:r>
    </w:p>
    <w:p w14:paraId="5450242D">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1、基本支出安排及使用情况</w:t>
      </w:r>
    </w:p>
    <w:p w14:paraId="793A887F">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基本支出是保障我校正常运转、完成日常工作任务而发生的各项支出，包括用于在职和离退休人员基本工资、津贴补贴等人员经费以及办公费、差旅费、水电费、邮电费等日常公用经费。攀枝花市第十小学校202</w:t>
      </w:r>
      <w:r>
        <w:rPr>
          <w:rFonts w:hint="eastAsia" w:ascii="楷体" w:hAnsi="楷体" w:eastAsia="楷体"/>
          <w:color w:val="000000"/>
          <w:sz w:val="28"/>
          <w:szCs w:val="28"/>
          <w:shd w:val="clear" w:color="auto" w:fill="FFFFFF"/>
          <w:lang w:val="en-US" w:eastAsia="zh-CN"/>
        </w:rPr>
        <w:t>3</w:t>
      </w:r>
      <w:r>
        <w:rPr>
          <w:rFonts w:hint="eastAsia" w:ascii="楷体" w:hAnsi="楷体" w:eastAsia="楷体"/>
          <w:color w:val="000000"/>
          <w:sz w:val="28"/>
          <w:szCs w:val="28"/>
          <w:shd w:val="clear" w:color="auto" w:fill="FFFFFF"/>
        </w:rPr>
        <w:t>年当年基本支出财政拨款为</w:t>
      </w:r>
      <w:r>
        <w:rPr>
          <w:rFonts w:hint="eastAsia" w:ascii="楷体" w:hAnsi="楷体" w:eastAsia="楷体"/>
          <w:color w:val="000000"/>
          <w:sz w:val="28"/>
          <w:szCs w:val="28"/>
          <w:shd w:val="clear" w:color="auto" w:fill="FFFFFF"/>
          <w:lang w:val="en-US" w:eastAsia="zh-CN"/>
        </w:rPr>
        <w:t>1231.42</w:t>
      </w:r>
      <w:r>
        <w:rPr>
          <w:rFonts w:hint="eastAsia" w:ascii="楷体" w:hAnsi="楷体" w:eastAsia="楷体"/>
          <w:color w:val="000000"/>
          <w:sz w:val="28"/>
          <w:szCs w:val="28"/>
          <w:shd w:val="clear" w:color="auto" w:fill="FFFFFF"/>
        </w:rPr>
        <w:t>万元。具体情况如下：</w:t>
      </w:r>
    </w:p>
    <w:p w14:paraId="6AAF0AD9">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（1）人员支出</w:t>
      </w:r>
      <w:r>
        <w:rPr>
          <w:rFonts w:hint="eastAsia" w:ascii="楷体" w:hAnsi="楷体" w:eastAsia="楷体"/>
          <w:color w:val="000000"/>
          <w:sz w:val="28"/>
          <w:szCs w:val="28"/>
          <w:shd w:val="clear" w:color="auto" w:fill="FFFFFF"/>
          <w:lang w:val="en-US" w:eastAsia="zh-CN"/>
        </w:rPr>
        <w:t>1118.49</w:t>
      </w:r>
      <w:r>
        <w:rPr>
          <w:rFonts w:hint="eastAsia" w:ascii="楷体" w:hAnsi="楷体" w:eastAsia="楷体"/>
          <w:color w:val="000000"/>
          <w:sz w:val="28"/>
          <w:szCs w:val="28"/>
          <w:shd w:val="clear" w:color="auto" w:fill="FFFFFF"/>
        </w:rPr>
        <w:t>万元，主要用于在职人员工资福利支出。</w:t>
      </w:r>
    </w:p>
    <w:p w14:paraId="7218B4B7">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（2）日常公用经费</w:t>
      </w:r>
      <w:r>
        <w:rPr>
          <w:rFonts w:hint="eastAsia" w:ascii="楷体" w:hAnsi="楷体" w:eastAsia="楷体"/>
          <w:color w:val="000000"/>
          <w:sz w:val="28"/>
          <w:szCs w:val="28"/>
          <w:shd w:val="clear" w:color="auto" w:fill="FFFFFF"/>
          <w:lang w:val="en-US" w:eastAsia="zh-CN"/>
        </w:rPr>
        <w:t>91.75</w:t>
      </w:r>
      <w:r>
        <w:rPr>
          <w:rFonts w:hint="eastAsia" w:ascii="楷体" w:hAnsi="楷体" w:eastAsia="楷体"/>
          <w:color w:val="000000"/>
          <w:sz w:val="28"/>
          <w:szCs w:val="28"/>
          <w:shd w:val="clear" w:color="auto" w:fill="FFFFFF"/>
        </w:rPr>
        <w:t>万元，主要为办公费、水电费等日常支出。</w:t>
      </w:r>
    </w:p>
    <w:p w14:paraId="4639BACC">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（3）对个人和家庭的补助</w:t>
      </w:r>
      <w:r>
        <w:rPr>
          <w:rFonts w:hint="eastAsia" w:ascii="楷体" w:hAnsi="楷体" w:eastAsia="楷体"/>
          <w:color w:val="000000"/>
          <w:sz w:val="28"/>
          <w:szCs w:val="28"/>
          <w:shd w:val="clear" w:color="auto" w:fill="FFFFFF"/>
          <w:lang w:val="en-US" w:eastAsia="zh-CN"/>
        </w:rPr>
        <w:t>122.91</w:t>
      </w:r>
      <w:r>
        <w:rPr>
          <w:rFonts w:hint="eastAsia" w:ascii="楷体" w:hAnsi="楷体" w:eastAsia="楷体"/>
          <w:color w:val="000000"/>
          <w:sz w:val="28"/>
          <w:szCs w:val="28"/>
          <w:shd w:val="clear" w:color="auto" w:fill="FFFFFF"/>
        </w:rPr>
        <w:t>万元，主要用于退休人员经费。</w:t>
      </w:r>
    </w:p>
    <w:p w14:paraId="7A48B657">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2、项目支出安排及使用情况</w:t>
      </w:r>
    </w:p>
    <w:p w14:paraId="0E97D35C">
      <w:pPr>
        <w:pStyle w:val="20"/>
        <w:ind w:left="243" w:firstLine="607" w:firstLineChars="217"/>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 xml:space="preserve"> （1）用于学生“三免一补”的作业本费3</w:t>
      </w:r>
      <w:r>
        <w:rPr>
          <w:rFonts w:ascii="楷体" w:hAnsi="楷体" w:eastAsia="楷体"/>
          <w:color w:val="000000"/>
          <w:sz w:val="28"/>
          <w:szCs w:val="28"/>
          <w:shd w:val="clear" w:color="auto" w:fill="FFFFFF"/>
        </w:rPr>
        <w:t>.0</w:t>
      </w:r>
      <w:r>
        <w:rPr>
          <w:rFonts w:hint="eastAsia" w:ascii="楷体" w:hAnsi="楷体" w:eastAsia="楷体"/>
          <w:color w:val="000000"/>
          <w:sz w:val="28"/>
          <w:szCs w:val="28"/>
          <w:shd w:val="clear" w:color="auto" w:fill="FFFFFF"/>
          <w:lang w:val="en-US" w:eastAsia="zh-CN"/>
        </w:rPr>
        <w:t>9</w:t>
      </w:r>
      <w:r>
        <w:rPr>
          <w:rFonts w:hint="eastAsia" w:ascii="楷体" w:hAnsi="楷体" w:eastAsia="楷体"/>
          <w:color w:val="000000"/>
          <w:sz w:val="28"/>
          <w:szCs w:val="28"/>
          <w:shd w:val="clear" w:color="auto" w:fill="FFFFFF"/>
        </w:rPr>
        <w:t>万元。</w:t>
      </w:r>
    </w:p>
    <w:p w14:paraId="251B36B8">
      <w:pPr>
        <w:pStyle w:val="20"/>
        <w:ind w:left="0" w:leftChars="0" w:firstLine="708" w:firstLineChars="253"/>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 xml:space="preserve"> （2）用于学校自聘人员等劳务费及社会保险费用</w:t>
      </w:r>
      <w:r>
        <w:rPr>
          <w:rFonts w:hint="eastAsia" w:ascii="楷体" w:hAnsi="楷体" w:eastAsia="楷体"/>
          <w:color w:val="000000"/>
          <w:sz w:val="28"/>
          <w:szCs w:val="28"/>
          <w:shd w:val="clear" w:color="auto" w:fill="FFFFFF"/>
          <w:lang w:val="en-US" w:eastAsia="zh-CN"/>
        </w:rPr>
        <w:t>18.08</w:t>
      </w:r>
      <w:r>
        <w:rPr>
          <w:rFonts w:hint="eastAsia" w:ascii="楷体" w:hAnsi="楷体" w:eastAsia="楷体"/>
          <w:color w:val="000000"/>
          <w:sz w:val="28"/>
          <w:szCs w:val="28"/>
          <w:shd w:val="clear" w:color="auto" w:fill="FFFFFF"/>
        </w:rPr>
        <w:t>万元。</w:t>
      </w:r>
    </w:p>
    <w:p w14:paraId="0B0B1A80">
      <w:pPr>
        <w:widowControl/>
        <w:adjustRightInd w:val="0"/>
        <w:snapToGrid w:val="0"/>
        <w:spacing w:line="580" w:lineRule="exact"/>
        <w:ind w:firstLine="848" w:firstLineChars="303"/>
        <w:contextualSpacing/>
        <w:jc w:val="left"/>
        <w:rPr>
          <w:rFonts w:ascii="楷体" w:hAnsi="楷体" w:eastAsia="楷体" w:cs="仿宋_GB2312"/>
          <w:color w:val="000000"/>
          <w:sz w:val="28"/>
          <w:szCs w:val="28"/>
          <w:shd w:val="clear" w:color="auto" w:fill="FFFFFF"/>
        </w:rPr>
      </w:pPr>
      <w:r>
        <w:rPr>
          <w:rFonts w:ascii="楷体" w:hAnsi="楷体" w:eastAsia="楷体" w:cs="仿宋_GB2312"/>
          <w:color w:val="000000"/>
          <w:sz w:val="28"/>
          <w:szCs w:val="28"/>
          <w:shd w:val="clear" w:color="auto" w:fill="FFFFFF"/>
        </w:rPr>
        <w:t>三、部门整体预算绩效管理情况（根据适用指标体系进行调整）</w:t>
      </w:r>
    </w:p>
    <w:p w14:paraId="6B6072D0">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ascii="楷体" w:hAnsi="楷体" w:eastAsia="楷体" w:cs="仿宋_GB2312"/>
          <w:color w:val="000000"/>
          <w:sz w:val="28"/>
          <w:szCs w:val="28"/>
          <w:shd w:val="clear" w:color="auto" w:fill="FFFFFF"/>
        </w:rPr>
        <w:t>（一）部门预算项目绩效管理</w:t>
      </w:r>
      <w:r>
        <w:rPr>
          <w:rFonts w:hint="eastAsia" w:ascii="楷体" w:hAnsi="楷体" w:eastAsia="楷体" w:cs="仿宋_GB2312"/>
          <w:color w:val="000000"/>
          <w:sz w:val="28"/>
          <w:szCs w:val="28"/>
          <w:shd w:val="clear" w:color="auto" w:fill="FFFFFF"/>
        </w:rPr>
        <w:t>4</w:t>
      </w:r>
      <w:r>
        <w:rPr>
          <w:rFonts w:ascii="楷体" w:hAnsi="楷体" w:eastAsia="楷体" w:cs="仿宋_GB2312"/>
          <w:color w:val="000000"/>
          <w:sz w:val="28"/>
          <w:szCs w:val="28"/>
          <w:shd w:val="clear" w:color="auto" w:fill="FFFFFF"/>
        </w:rPr>
        <w:t>0</w:t>
      </w:r>
      <w:r>
        <w:rPr>
          <w:rFonts w:hint="eastAsia" w:ascii="楷体" w:hAnsi="楷体" w:eastAsia="楷体" w:cs="仿宋_GB2312"/>
          <w:color w:val="000000"/>
          <w:sz w:val="28"/>
          <w:szCs w:val="28"/>
          <w:shd w:val="clear" w:color="auto" w:fill="FFFFFF"/>
        </w:rPr>
        <w:t>分，自评得分3</w:t>
      </w:r>
      <w:r>
        <w:rPr>
          <w:rFonts w:hint="eastAsia" w:ascii="楷体" w:hAnsi="楷体" w:eastAsia="楷体" w:cs="仿宋_GB2312"/>
          <w:color w:val="000000"/>
          <w:sz w:val="28"/>
          <w:szCs w:val="28"/>
          <w:shd w:val="clear" w:color="auto" w:fill="FFFFFF"/>
          <w:lang w:val="en-US" w:eastAsia="zh-CN"/>
        </w:rPr>
        <w:t>8</w:t>
      </w:r>
      <w:r>
        <w:rPr>
          <w:rFonts w:hint="eastAsia" w:ascii="楷体" w:hAnsi="楷体" w:eastAsia="楷体" w:cs="仿宋_GB2312"/>
          <w:color w:val="000000"/>
          <w:sz w:val="28"/>
          <w:szCs w:val="28"/>
          <w:shd w:val="clear" w:color="auto" w:fill="FFFFFF"/>
        </w:rPr>
        <w:t>分</w:t>
      </w:r>
      <w:r>
        <w:rPr>
          <w:rFonts w:ascii="楷体" w:hAnsi="楷体" w:eastAsia="楷体" w:cs="仿宋_GB2312"/>
          <w:color w:val="000000"/>
          <w:sz w:val="28"/>
          <w:szCs w:val="28"/>
          <w:shd w:val="clear" w:color="auto" w:fill="FFFFFF"/>
        </w:rPr>
        <w:t>。</w:t>
      </w:r>
    </w:p>
    <w:p w14:paraId="5312330F">
      <w:pPr>
        <w:pStyle w:val="20"/>
        <w:ind w:left="243" w:firstLine="560" w:firstLineChars="200"/>
        <w:rPr>
          <w:rFonts w:ascii="楷体" w:hAnsi="楷体" w:eastAsia="楷体"/>
          <w:color w:val="000000"/>
          <w:sz w:val="28"/>
          <w:szCs w:val="28"/>
          <w:shd w:val="clear" w:color="auto" w:fill="FFFFFF"/>
        </w:rPr>
      </w:pPr>
      <w:r>
        <w:rPr>
          <w:rFonts w:ascii="楷体" w:hAnsi="楷体" w:eastAsia="楷体"/>
          <w:color w:val="000000"/>
          <w:sz w:val="28"/>
          <w:szCs w:val="28"/>
          <w:shd w:val="clear" w:color="auto" w:fill="FFFFFF"/>
        </w:rPr>
        <w:t>部门绩效目标制定</w:t>
      </w:r>
      <w:r>
        <w:rPr>
          <w:rFonts w:hint="eastAsia" w:ascii="楷体" w:hAnsi="楷体" w:eastAsia="楷体"/>
          <w:color w:val="000000"/>
          <w:sz w:val="28"/>
          <w:szCs w:val="28"/>
          <w:shd w:val="clear" w:color="auto" w:fill="FFFFFF"/>
        </w:rPr>
        <w:t>、目标实现方面，学校2</w:t>
      </w:r>
      <w:r>
        <w:rPr>
          <w:rFonts w:ascii="楷体" w:hAnsi="楷体" w:eastAsia="楷体"/>
          <w:color w:val="000000"/>
          <w:sz w:val="28"/>
          <w:szCs w:val="28"/>
          <w:shd w:val="clear" w:color="auto" w:fill="FFFFFF"/>
        </w:rPr>
        <w:t>02</w:t>
      </w:r>
      <w:r>
        <w:rPr>
          <w:rFonts w:hint="eastAsia" w:ascii="楷体" w:hAnsi="楷体" w:eastAsia="楷体"/>
          <w:color w:val="000000"/>
          <w:sz w:val="28"/>
          <w:szCs w:val="28"/>
          <w:shd w:val="clear" w:color="auto" w:fill="FFFFFF"/>
          <w:lang w:val="en-US" w:eastAsia="zh-CN"/>
        </w:rPr>
        <w:t>3</w:t>
      </w:r>
      <w:r>
        <w:rPr>
          <w:rFonts w:hint="eastAsia" w:ascii="楷体" w:hAnsi="楷体" w:eastAsia="楷体"/>
          <w:color w:val="000000"/>
          <w:sz w:val="28"/>
          <w:szCs w:val="28"/>
          <w:shd w:val="clear" w:color="auto" w:fill="FFFFFF"/>
        </w:rPr>
        <w:t>年预算按人员类是</w:t>
      </w:r>
      <w:r>
        <w:rPr>
          <w:rFonts w:hint="eastAsia" w:ascii="楷体" w:hAnsi="楷体" w:eastAsia="楷体"/>
          <w:color w:val="000000"/>
          <w:sz w:val="28"/>
          <w:szCs w:val="28"/>
          <w:shd w:val="clear" w:color="auto" w:fill="FFFFFF"/>
          <w:lang w:val="en-US" w:eastAsia="zh-CN"/>
        </w:rPr>
        <w:t>1118.49</w:t>
      </w:r>
      <w:r>
        <w:rPr>
          <w:rFonts w:hint="eastAsia" w:ascii="楷体" w:hAnsi="楷体" w:eastAsia="楷体"/>
          <w:color w:val="000000"/>
          <w:sz w:val="28"/>
          <w:szCs w:val="28"/>
          <w:shd w:val="clear" w:color="auto" w:fill="FFFFFF"/>
        </w:rPr>
        <w:t>万元，运转类是</w:t>
      </w:r>
      <w:r>
        <w:rPr>
          <w:rFonts w:hint="eastAsia" w:ascii="楷体" w:hAnsi="楷体" w:eastAsia="楷体"/>
          <w:color w:val="000000"/>
          <w:sz w:val="28"/>
          <w:szCs w:val="28"/>
          <w:shd w:val="clear" w:color="auto" w:fill="FFFFFF"/>
          <w:lang w:val="en-US" w:eastAsia="zh-CN"/>
        </w:rPr>
        <w:t>91.75</w:t>
      </w:r>
      <w:r>
        <w:rPr>
          <w:rFonts w:hint="eastAsia" w:ascii="楷体" w:hAnsi="楷体" w:eastAsia="楷体"/>
          <w:color w:val="000000"/>
          <w:sz w:val="28"/>
          <w:szCs w:val="28"/>
          <w:shd w:val="clear" w:color="auto" w:fill="FFFFFF"/>
        </w:rPr>
        <w:t>万元，特定目标类</w:t>
      </w:r>
      <w:r>
        <w:rPr>
          <w:rFonts w:hint="eastAsia" w:ascii="楷体" w:hAnsi="楷体" w:eastAsia="楷体"/>
          <w:color w:val="000000"/>
          <w:sz w:val="28"/>
          <w:szCs w:val="28"/>
          <w:shd w:val="clear" w:color="auto" w:fill="FFFFFF"/>
          <w:lang w:val="en-US" w:eastAsia="zh-CN"/>
        </w:rPr>
        <w:t>21.18</w:t>
      </w:r>
      <w:r>
        <w:rPr>
          <w:rFonts w:hint="eastAsia" w:ascii="楷体" w:hAnsi="楷体" w:eastAsia="楷体"/>
          <w:color w:val="000000"/>
          <w:sz w:val="28"/>
          <w:szCs w:val="28"/>
          <w:shd w:val="clear" w:color="auto" w:fill="FFFFFF"/>
        </w:rPr>
        <w:t>万元。在支出控制、及时处置、执行进度等都按要求完成，资金结余率（低效无效率）方面，学校本年度很低，无违规情况。具体分析如下：</w:t>
      </w:r>
    </w:p>
    <w:p w14:paraId="44788A64">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1．目标管理</w:t>
      </w:r>
      <w:r>
        <w:rPr>
          <w:rFonts w:hint="eastAsia" w:ascii="楷体" w:hAnsi="楷体" w:eastAsia="楷体"/>
          <w:color w:val="000000"/>
          <w:sz w:val="28"/>
          <w:szCs w:val="28"/>
          <w:shd w:val="clear" w:color="auto" w:fill="FFFFFF"/>
          <w:lang w:val="en-US" w:eastAsia="zh-CN"/>
        </w:rPr>
        <w:t>15</w:t>
      </w:r>
      <w:r>
        <w:rPr>
          <w:rFonts w:hint="eastAsia" w:ascii="楷体" w:hAnsi="楷体" w:eastAsia="楷体"/>
          <w:color w:val="000000"/>
          <w:sz w:val="28"/>
          <w:szCs w:val="28"/>
          <w:shd w:val="clear" w:color="auto" w:fill="FFFFFF"/>
        </w:rPr>
        <w:t>分，自评得分</w:t>
      </w:r>
      <w:r>
        <w:rPr>
          <w:rFonts w:hint="eastAsia" w:ascii="楷体" w:hAnsi="楷体" w:eastAsia="楷体"/>
          <w:color w:val="000000"/>
          <w:sz w:val="28"/>
          <w:szCs w:val="28"/>
          <w:shd w:val="clear" w:color="auto" w:fill="FFFFFF"/>
          <w:lang w:val="en-US" w:eastAsia="zh-CN"/>
        </w:rPr>
        <w:t>13</w:t>
      </w:r>
      <w:r>
        <w:rPr>
          <w:rFonts w:hint="eastAsia" w:ascii="楷体" w:hAnsi="楷体" w:eastAsia="楷体"/>
          <w:color w:val="000000"/>
          <w:sz w:val="28"/>
          <w:szCs w:val="28"/>
          <w:shd w:val="clear" w:color="auto" w:fill="FFFFFF"/>
        </w:rPr>
        <w:t>分</w:t>
      </w:r>
    </w:p>
    <w:p w14:paraId="227B2079">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目标制定：要素完整，通过了学校办公会集体决策，具有可实现性；自评得</w:t>
      </w:r>
      <w:r>
        <w:rPr>
          <w:rFonts w:hint="eastAsia" w:ascii="楷体" w:hAnsi="楷体" w:eastAsia="楷体"/>
          <w:color w:val="000000"/>
          <w:sz w:val="28"/>
          <w:szCs w:val="28"/>
          <w:shd w:val="clear" w:color="auto" w:fill="FFFFFF"/>
          <w:lang w:val="en-US" w:eastAsia="zh-CN"/>
        </w:rPr>
        <w:t>4</w:t>
      </w:r>
      <w:r>
        <w:rPr>
          <w:rFonts w:hint="eastAsia" w:ascii="楷体" w:hAnsi="楷体" w:eastAsia="楷体"/>
          <w:color w:val="000000"/>
          <w:sz w:val="28"/>
          <w:szCs w:val="28"/>
          <w:shd w:val="clear" w:color="auto" w:fill="FFFFFF"/>
        </w:rPr>
        <w:t>分</w:t>
      </w:r>
    </w:p>
    <w:p w14:paraId="12161583">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目标实现：预算项目全部实现目标值，特定目标类项目未完成全部目标值，自评得</w:t>
      </w:r>
      <w:r>
        <w:rPr>
          <w:rFonts w:hint="eastAsia" w:ascii="楷体" w:hAnsi="楷体" w:eastAsia="楷体"/>
          <w:color w:val="000000"/>
          <w:sz w:val="28"/>
          <w:szCs w:val="28"/>
          <w:shd w:val="clear" w:color="auto" w:fill="FFFFFF"/>
          <w:lang w:val="en-US" w:eastAsia="zh-CN"/>
        </w:rPr>
        <w:t>9</w:t>
      </w:r>
      <w:r>
        <w:rPr>
          <w:rFonts w:hint="eastAsia" w:ascii="楷体" w:hAnsi="楷体" w:eastAsia="楷体"/>
          <w:color w:val="000000"/>
          <w:sz w:val="28"/>
          <w:szCs w:val="28"/>
          <w:shd w:val="clear" w:color="auto" w:fill="FFFFFF"/>
        </w:rPr>
        <w:t>分；</w:t>
      </w:r>
    </w:p>
    <w:p w14:paraId="650461DC">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2．动态调整</w:t>
      </w:r>
      <w:r>
        <w:rPr>
          <w:rFonts w:hint="eastAsia" w:ascii="楷体" w:hAnsi="楷体" w:eastAsia="楷体"/>
          <w:color w:val="000000"/>
          <w:sz w:val="28"/>
          <w:szCs w:val="28"/>
          <w:shd w:val="clear" w:color="auto" w:fill="FFFFFF"/>
          <w:lang w:val="en-US" w:eastAsia="zh-CN"/>
        </w:rPr>
        <w:t>10</w:t>
      </w:r>
      <w:r>
        <w:rPr>
          <w:rFonts w:hint="eastAsia" w:ascii="楷体" w:hAnsi="楷体" w:eastAsia="楷体"/>
          <w:color w:val="000000"/>
          <w:sz w:val="28"/>
          <w:szCs w:val="28"/>
          <w:shd w:val="clear" w:color="auto" w:fill="FFFFFF"/>
        </w:rPr>
        <w:t>分，自评得分</w:t>
      </w:r>
      <w:r>
        <w:rPr>
          <w:rFonts w:hint="eastAsia" w:ascii="楷体" w:hAnsi="楷体" w:eastAsia="楷体"/>
          <w:color w:val="000000"/>
          <w:sz w:val="28"/>
          <w:szCs w:val="28"/>
          <w:shd w:val="clear" w:color="auto" w:fill="FFFFFF"/>
          <w:lang w:val="en-US" w:eastAsia="zh-CN"/>
        </w:rPr>
        <w:t>10</w:t>
      </w:r>
      <w:r>
        <w:rPr>
          <w:rFonts w:hint="eastAsia" w:ascii="楷体" w:hAnsi="楷体" w:eastAsia="楷体"/>
          <w:color w:val="000000"/>
          <w:sz w:val="28"/>
          <w:szCs w:val="28"/>
          <w:shd w:val="clear" w:color="auto" w:fill="FFFFFF"/>
        </w:rPr>
        <w:t>分</w:t>
      </w:r>
    </w:p>
    <w:p w14:paraId="611BF378">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hint="eastAsia" w:ascii="楷体" w:hAnsi="楷体" w:eastAsia="楷体" w:cs="仿宋_GB2312"/>
          <w:color w:val="000000"/>
          <w:sz w:val="28"/>
          <w:szCs w:val="28"/>
          <w:shd w:val="clear" w:color="auto" w:fill="FFFFFF"/>
        </w:rPr>
        <w:t>支出控制：年终决算数中预算水费，电费，邮电费等与年初预算没有偏差，自评得满分；</w:t>
      </w:r>
    </w:p>
    <w:p w14:paraId="20BA8C02">
      <w:pPr>
        <w:widowControl/>
        <w:adjustRightInd w:val="0"/>
        <w:snapToGrid w:val="0"/>
        <w:spacing w:line="580" w:lineRule="exact"/>
        <w:ind w:firstLine="560" w:firstLineChars="200"/>
        <w:contextualSpacing/>
        <w:jc w:val="left"/>
        <w:rPr>
          <w:rFonts w:hint="default" w:ascii="楷体" w:hAnsi="楷体" w:eastAsia="楷体" w:cs="仿宋_GB2312"/>
          <w:color w:val="000000"/>
          <w:sz w:val="28"/>
          <w:szCs w:val="28"/>
          <w:shd w:val="clear" w:color="auto" w:fill="FFFFFF"/>
          <w:lang w:val="en-US" w:eastAsia="zh-CN"/>
        </w:rPr>
      </w:pPr>
      <w:r>
        <w:rPr>
          <w:rFonts w:hint="eastAsia" w:ascii="楷体" w:hAnsi="楷体" w:eastAsia="楷体" w:cs="仿宋_GB2312"/>
          <w:color w:val="000000"/>
          <w:sz w:val="28"/>
          <w:szCs w:val="28"/>
          <w:shd w:val="clear" w:color="auto" w:fill="FFFFFF"/>
        </w:rPr>
        <w:t>及时处置：在公用经费支出中出现偏差时，及时向财政部门进行资金调整申请，使公用经费总体支出无偏差；</w:t>
      </w:r>
      <w:r>
        <w:rPr>
          <w:rFonts w:hint="eastAsia" w:ascii="楷体" w:hAnsi="楷体" w:eastAsia="楷体" w:cs="仿宋_GB2312"/>
          <w:color w:val="000000"/>
          <w:sz w:val="28"/>
          <w:szCs w:val="28"/>
          <w:shd w:val="clear" w:color="auto" w:fill="FFFFFF"/>
          <w:lang w:val="en-US" w:eastAsia="zh-CN"/>
        </w:rPr>
        <w:t>自评得满分</w:t>
      </w:r>
    </w:p>
    <w:p w14:paraId="10E13B11">
      <w:pPr>
        <w:widowControl/>
        <w:adjustRightInd w:val="0"/>
        <w:snapToGrid w:val="0"/>
        <w:spacing w:line="580" w:lineRule="exact"/>
        <w:ind w:firstLine="560" w:firstLineChars="200"/>
        <w:contextualSpacing/>
        <w:jc w:val="left"/>
        <w:rPr>
          <w:rFonts w:hint="eastAsia" w:ascii="楷体" w:hAnsi="楷体" w:eastAsia="楷体" w:cs="仿宋_GB2312"/>
          <w:color w:val="000000"/>
          <w:sz w:val="28"/>
          <w:szCs w:val="28"/>
          <w:shd w:val="clear" w:color="auto" w:fill="FFFFFF"/>
          <w:lang w:eastAsia="zh-CN"/>
        </w:rPr>
      </w:pPr>
      <w:r>
        <w:rPr>
          <w:rFonts w:hint="eastAsia" w:ascii="楷体" w:hAnsi="楷体" w:eastAsia="楷体" w:cs="仿宋_GB2312"/>
          <w:color w:val="000000"/>
          <w:sz w:val="28"/>
          <w:szCs w:val="28"/>
          <w:shd w:val="clear" w:color="auto" w:fill="FFFFFF"/>
        </w:rPr>
        <w:t>执行进度：参照年初预算数，控制全年支出进度，基本达到量化指标；自评得满分</w:t>
      </w:r>
      <w:r>
        <w:rPr>
          <w:rFonts w:hint="eastAsia" w:ascii="楷体" w:hAnsi="楷体" w:eastAsia="楷体" w:cs="仿宋_GB2312"/>
          <w:color w:val="000000"/>
          <w:sz w:val="28"/>
          <w:szCs w:val="28"/>
          <w:shd w:val="clear" w:color="auto" w:fill="FFFFFF"/>
          <w:lang w:eastAsia="zh-CN"/>
        </w:rPr>
        <w:t>。</w:t>
      </w:r>
    </w:p>
    <w:p w14:paraId="6AE6DC9A">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hint="eastAsia" w:ascii="楷体" w:hAnsi="楷体" w:eastAsia="楷体" w:cs="仿宋_GB2312"/>
          <w:color w:val="000000"/>
          <w:sz w:val="28"/>
          <w:szCs w:val="28"/>
          <w:shd w:val="clear" w:color="auto" w:fill="FFFFFF"/>
        </w:rPr>
        <w:t>3．完成效率</w:t>
      </w:r>
      <w:r>
        <w:rPr>
          <w:rFonts w:hint="eastAsia" w:ascii="楷体" w:hAnsi="楷体" w:eastAsia="楷体" w:cs="仿宋_GB2312"/>
          <w:color w:val="000000"/>
          <w:sz w:val="28"/>
          <w:szCs w:val="28"/>
          <w:shd w:val="clear" w:color="auto" w:fill="FFFFFF"/>
          <w:lang w:val="en-US" w:eastAsia="zh-CN"/>
        </w:rPr>
        <w:t>15</w:t>
      </w:r>
      <w:r>
        <w:rPr>
          <w:rFonts w:hint="eastAsia" w:ascii="楷体" w:hAnsi="楷体" w:eastAsia="楷体" w:cs="仿宋_GB2312"/>
          <w:color w:val="000000"/>
          <w:sz w:val="28"/>
          <w:szCs w:val="28"/>
          <w:shd w:val="clear" w:color="auto" w:fill="FFFFFF"/>
        </w:rPr>
        <w:t>分：自评得分</w:t>
      </w:r>
      <w:r>
        <w:rPr>
          <w:rFonts w:hint="eastAsia" w:ascii="楷体" w:hAnsi="楷体" w:eastAsia="楷体" w:cs="仿宋_GB2312"/>
          <w:color w:val="000000"/>
          <w:sz w:val="28"/>
          <w:szCs w:val="28"/>
          <w:shd w:val="clear" w:color="auto" w:fill="FFFFFF"/>
          <w:lang w:val="en-US" w:eastAsia="zh-CN"/>
        </w:rPr>
        <w:t>15</w:t>
      </w:r>
      <w:r>
        <w:rPr>
          <w:rFonts w:hint="eastAsia" w:ascii="楷体" w:hAnsi="楷体" w:eastAsia="楷体" w:cs="仿宋_GB2312"/>
          <w:color w:val="000000"/>
          <w:sz w:val="28"/>
          <w:szCs w:val="28"/>
          <w:shd w:val="clear" w:color="auto" w:fill="FFFFFF"/>
        </w:rPr>
        <w:t>分</w:t>
      </w:r>
    </w:p>
    <w:p w14:paraId="354226D5">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hint="eastAsia" w:ascii="楷体" w:hAnsi="楷体" w:eastAsia="楷体" w:cs="仿宋_GB2312"/>
          <w:color w:val="000000"/>
          <w:sz w:val="28"/>
          <w:szCs w:val="28"/>
          <w:shd w:val="clear" w:color="auto" w:fill="FFFFFF"/>
        </w:rPr>
        <w:t>预算完成：</w:t>
      </w:r>
      <w:r>
        <w:rPr>
          <w:rFonts w:hint="eastAsia" w:ascii="楷体" w:hAnsi="楷体" w:eastAsia="楷体" w:cs="仿宋_GB2312"/>
          <w:color w:val="000000"/>
          <w:sz w:val="28"/>
          <w:szCs w:val="28"/>
          <w:shd w:val="clear" w:color="auto" w:fill="FFFFFF"/>
          <w:lang w:val="en-US" w:eastAsia="zh-CN"/>
        </w:rPr>
        <w:t>完成预算计划数</w:t>
      </w:r>
      <w:r>
        <w:rPr>
          <w:rFonts w:hint="eastAsia" w:ascii="楷体" w:hAnsi="楷体" w:eastAsia="楷体" w:cs="仿宋_GB2312"/>
          <w:color w:val="000000"/>
          <w:sz w:val="28"/>
          <w:szCs w:val="28"/>
          <w:shd w:val="clear" w:color="auto" w:fill="FFFFFF"/>
        </w:rPr>
        <w:t>，该项自评得满分；</w:t>
      </w:r>
    </w:p>
    <w:p w14:paraId="140C3422">
      <w:pPr>
        <w:widowControl/>
        <w:adjustRightInd w:val="0"/>
        <w:snapToGrid w:val="0"/>
        <w:spacing w:line="580" w:lineRule="exact"/>
        <w:ind w:firstLine="560" w:firstLineChars="200"/>
        <w:contextualSpacing/>
        <w:jc w:val="left"/>
        <w:rPr>
          <w:rFonts w:hint="eastAsia" w:ascii="楷体" w:hAnsi="楷体" w:eastAsia="楷体" w:cs="仿宋_GB2312"/>
          <w:color w:val="000000"/>
          <w:sz w:val="28"/>
          <w:szCs w:val="28"/>
          <w:shd w:val="clear" w:color="auto" w:fill="FFFFFF"/>
          <w:lang w:val="en-US" w:eastAsia="zh-CN"/>
        </w:rPr>
      </w:pPr>
      <w:r>
        <w:rPr>
          <w:rFonts w:hint="eastAsia" w:ascii="楷体" w:hAnsi="楷体" w:eastAsia="楷体" w:cs="仿宋_GB2312"/>
          <w:color w:val="000000"/>
          <w:sz w:val="28"/>
          <w:szCs w:val="28"/>
          <w:shd w:val="clear" w:color="auto" w:fill="FFFFFF"/>
        </w:rPr>
        <w:t>资金结余率：项目资金年终无结余；</w:t>
      </w:r>
      <w:r>
        <w:rPr>
          <w:rFonts w:hint="eastAsia" w:ascii="楷体" w:hAnsi="楷体" w:eastAsia="楷体" w:cs="仿宋_GB2312"/>
          <w:color w:val="000000"/>
          <w:sz w:val="28"/>
          <w:szCs w:val="28"/>
          <w:shd w:val="clear" w:color="auto" w:fill="FFFFFF"/>
          <w:lang w:val="en-US" w:eastAsia="zh-CN"/>
        </w:rPr>
        <w:t>满分</w:t>
      </w:r>
    </w:p>
    <w:p w14:paraId="1A344971">
      <w:pPr>
        <w:widowControl/>
        <w:adjustRightInd w:val="0"/>
        <w:snapToGrid w:val="0"/>
        <w:spacing w:line="580" w:lineRule="exact"/>
        <w:ind w:firstLine="560" w:firstLineChars="200"/>
        <w:contextualSpacing/>
        <w:jc w:val="left"/>
        <w:rPr>
          <w:rFonts w:hint="default" w:ascii="楷体" w:hAnsi="楷体" w:eastAsia="楷体" w:cs="仿宋_GB2312"/>
          <w:color w:val="000000"/>
          <w:sz w:val="28"/>
          <w:szCs w:val="28"/>
          <w:shd w:val="clear" w:color="auto" w:fill="FFFFFF"/>
          <w:lang w:val="en-US" w:eastAsia="zh-CN"/>
        </w:rPr>
      </w:pPr>
      <w:r>
        <w:rPr>
          <w:rFonts w:hint="eastAsia" w:ascii="楷体" w:hAnsi="楷体" w:eastAsia="楷体" w:cs="仿宋_GB2312"/>
          <w:color w:val="000000"/>
          <w:sz w:val="28"/>
          <w:szCs w:val="28"/>
          <w:shd w:val="clear" w:color="auto" w:fill="FFFFFF"/>
        </w:rPr>
        <w:t>违规记录：在各级各部门抽查工作中无违规记录</w:t>
      </w:r>
      <w:r>
        <w:rPr>
          <w:rFonts w:hint="eastAsia" w:ascii="楷体" w:hAnsi="楷体" w:eastAsia="楷体" w:cs="仿宋_GB2312"/>
          <w:color w:val="000000"/>
          <w:sz w:val="28"/>
          <w:szCs w:val="28"/>
          <w:shd w:val="clear" w:color="auto" w:fill="FFFFFF"/>
          <w:lang w:eastAsia="zh-CN"/>
        </w:rPr>
        <w:t>，</w:t>
      </w:r>
      <w:r>
        <w:rPr>
          <w:rFonts w:hint="eastAsia" w:ascii="楷体" w:hAnsi="楷体" w:eastAsia="楷体" w:cs="仿宋_GB2312"/>
          <w:color w:val="000000"/>
          <w:sz w:val="28"/>
          <w:szCs w:val="28"/>
          <w:shd w:val="clear" w:color="auto" w:fill="FFFFFF"/>
          <w:lang w:val="en-US" w:eastAsia="zh-CN"/>
        </w:rPr>
        <w:t>满分</w:t>
      </w:r>
    </w:p>
    <w:p w14:paraId="27AFF1C8">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ascii="楷体" w:hAnsi="楷体" w:eastAsia="楷体" w:cs="仿宋_GB2312"/>
          <w:color w:val="000000"/>
          <w:sz w:val="28"/>
          <w:szCs w:val="28"/>
          <w:shd w:val="clear" w:color="auto" w:fill="FFFFFF"/>
        </w:rPr>
        <w:t>（二）</w:t>
      </w:r>
      <w:r>
        <w:rPr>
          <w:rFonts w:hint="eastAsia" w:ascii="楷体" w:hAnsi="楷体" w:eastAsia="楷体" w:cs="仿宋_GB2312"/>
          <w:color w:val="000000"/>
          <w:sz w:val="28"/>
          <w:szCs w:val="28"/>
          <w:shd w:val="clear" w:color="auto" w:fill="FFFFFF"/>
        </w:rPr>
        <w:t>专项预算项目绩效管理40分，自评得分3</w:t>
      </w:r>
      <w:r>
        <w:rPr>
          <w:rFonts w:ascii="楷体" w:hAnsi="楷体" w:eastAsia="楷体" w:cs="仿宋_GB2312"/>
          <w:color w:val="000000"/>
          <w:sz w:val="28"/>
          <w:szCs w:val="28"/>
          <w:shd w:val="clear" w:color="auto" w:fill="FFFFFF"/>
        </w:rPr>
        <w:t>7</w:t>
      </w:r>
      <w:r>
        <w:rPr>
          <w:rFonts w:hint="eastAsia" w:ascii="楷体" w:hAnsi="楷体" w:eastAsia="楷体" w:cs="仿宋_GB2312"/>
          <w:color w:val="000000"/>
          <w:sz w:val="28"/>
          <w:szCs w:val="28"/>
          <w:shd w:val="clear" w:color="auto" w:fill="FFFFFF"/>
        </w:rPr>
        <w:t>分</w:t>
      </w:r>
    </w:p>
    <w:p w14:paraId="1D54634C">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hint="eastAsia" w:ascii="楷体" w:hAnsi="楷体" w:eastAsia="楷体" w:cs="仿宋_GB2312"/>
          <w:color w:val="000000"/>
          <w:sz w:val="28"/>
          <w:szCs w:val="28"/>
          <w:shd w:val="clear" w:color="auto" w:fill="FFFFFF"/>
        </w:rPr>
        <w:t>本年专项预算主要是“202</w:t>
      </w:r>
      <w:r>
        <w:rPr>
          <w:rFonts w:hint="eastAsia" w:ascii="楷体" w:hAnsi="楷体" w:eastAsia="楷体" w:cs="仿宋_GB2312"/>
          <w:color w:val="000000"/>
          <w:sz w:val="28"/>
          <w:szCs w:val="28"/>
          <w:shd w:val="clear" w:color="auto" w:fill="FFFFFF"/>
          <w:lang w:val="en-US" w:eastAsia="zh-CN"/>
        </w:rPr>
        <w:t>3</w:t>
      </w:r>
      <w:r>
        <w:rPr>
          <w:rFonts w:hint="eastAsia" w:ascii="楷体" w:hAnsi="楷体" w:eastAsia="楷体" w:cs="仿宋_GB2312"/>
          <w:color w:val="000000"/>
          <w:sz w:val="28"/>
          <w:szCs w:val="28"/>
          <w:shd w:val="clear" w:color="auto" w:fill="FFFFFF"/>
        </w:rPr>
        <w:t>年城乡义务教育补助经费”，其中中央资金未全部完成预算指标，剩余指标由财政回收，省、区级财政资金全部完成，达到项目目标。该项自评未得满分。</w:t>
      </w:r>
    </w:p>
    <w:p w14:paraId="1661E4A8">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ascii="楷体" w:hAnsi="楷体" w:eastAsia="楷体" w:cs="仿宋_GB2312"/>
          <w:color w:val="000000"/>
          <w:sz w:val="28"/>
          <w:szCs w:val="28"/>
          <w:shd w:val="clear" w:color="auto" w:fill="FFFFFF"/>
        </w:rPr>
        <w:t>（</w:t>
      </w:r>
      <w:r>
        <w:rPr>
          <w:rFonts w:hint="eastAsia" w:ascii="楷体" w:hAnsi="楷体" w:eastAsia="楷体" w:cs="仿宋_GB2312"/>
          <w:color w:val="000000"/>
          <w:sz w:val="28"/>
          <w:szCs w:val="28"/>
          <w:shd w:val="clear" w:color="auto" w:fill="FFFFFF"/>
        </w:rPr>
        <w:t>三</w:t>
      </w:r>
      <w:r>
        <w:rPr>
          <w:rFonts w:ascii="楷体" w:hAnsi="楷体" w:eastAsia="楷体" w:cs="仿宋_GB2312"/>
          <w:color w:val="000000"/>
          <w:sz w:val="28"/>
          <w:szCs w:val="28"/>
          <w:shd w:val="clear" w:color="auto" w:fill="FFFFFF"/>
        </w:rPr>
        <w:t>）</w:t>
      </w:r>
      <w:r>
        <w:rPr>
          <w:rFonts w:hint="eastAsia" w:ascii="楷体" w:hAnsi="楷体" w:eastAsia="楷体" w:cs="仿宋_GB2312"/>
          <w:color w:val="000000"/>
          <w:sz w:val="28"/>
          <w:szCs w:val="28"/>
          <w:shd w:val="clear" w:color="auto" w:fill="FFFFFF"/>
          <w:lang w:val="en-US" w:eastAsia="zh-CN"/>
        </w:rPr>
        <w:t>绩效</w:t>
      </w:r>
      <w:r>
        <w:rPr>
          <w:rFonts w:ascii="楷体" w:hAnsi="楷体" w:eastAsia="楷体" w:cs="仿宋_GB2312"/>
          <w:color w:val="000000"/>
          <w:sz w:val="28"/>
          <w:szCs w:val="28"/>
          <w:shd w:val="clear" w:color="auto" w:fill="FFFFFF"/>
        </w:rPr>
        <w:t>结果应用情况</w:t>
      </w:r>
      <w:r>
        <w:rPr>
          <w:rFonts w:hint="eastAsia" w:ascii="楷体" w:hAnsi="楷体" w:eastAsia="楷体" w:cs="仿宋_GB2312"/>
          <w:color w:val="000000"/>
          <w:sz w:val="28"/>
          <w:szCs w:val="28"/>
          <w:shd w:val="clear" w:color="auto" w:fill="FFFFFF"/>
        </w:rPr>
        <w:t>10分，自评得分</w:t>
      </w:r>
      <w:r>
        <w:rPr>
          <w:rFonts w:hint="eastAsia" w:ascii="楷体" w:hAnsi="楷体" w:eastAsia="楷体" w:cs="仿宋_GB2312"/>
          <w:color w:val="000000"/>
          <w:sz w:val="28"/>
          <w:szCs w:val="28"/>
          <w:shd w:val="clear" w:color="auto" w:fill="FFFFFF"/>
          <w:lang w:val="en-US" w:eastAsia="zh-CN"/>
        </w:rPr>
        <w:t>9</w:t>
      </w:r>
      <w:r>
        <w:rPr>
          <w:rFonts w:hint="eastAsia" w:ascii="楷体" w:hAnsi="楷体" w:eastAsia="楷体" w:cs="仿宋_GB2312"/>
          <w:color w:val="000000"/>
          <w:sz w:val="28"/>
          <w:szCs w:val="28"/>
          <w:shd w:val="clear" w:color="auto" w:fill="FFFFFF"/>
        </w:rPr>
        <w:t>分</w:t>
      </w:r>
      <w:r>
        <w:rPr>
          <w:rFonts w:ascii="楷体" w:hAnsi="楷体" w:eastAsia="楷体" w:cs="仿宋_GB2312"/>
          <w:color w:val="000000"/>
          <w:sz w:val="28"/>
          <w:szCs w:val="28"/>
          <w:shd w:val="clear" w:color="auto" w:fill="FFFFFF"/>
        </w:rPr>
        <w:t>。</w:t>
      </w:r>
    </w:p>
    <w:p w14:paraId="54EED410">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绩效自评结果将用于下一年度预算编制及监控，并按要求在攀枝花市东区人民政府网政务公开栏目下公开公示。</w:t>
      </w:r>
    </w:p>
    <w:p w14:paraId="26A7D0E0">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ascii="楷体" w:hAnsi="楷体" w:eastAsia="楷体" w:cs="仿宋_GB2312"/>
          <w:color w:val="000000"/>
          <w:sz w:val="28"/>
          <w:szCs w:val="28"/>
          <w:shd w:val="clear" w:color="auto" w:fill="FFFFFF"/>
        </w:rPr>
        <w:t>包括内部应用、自评公开、问题整改和应用反馈等情况。</w:t>
      </w:r>
    </w:p>
    <w:p w14:paraId="437A4BAC">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hint="eastAsia" w:ascii="楷体" w:hAnsi="楷体" w:eastAsia="楷体" w:cs="仿宋_GB2312"/>
          <w:color w:val="000000"/>
          <w:sz w:val="28"/>
          <w:szCs w:val="28"/>
          <w:shd w:val="clear" w:color="auto" w:fill="FFFFFF"/>
        </w:rPr>
        <w:t>1、内部应用：</w:t>
      </w:r>
      <w:r>
        <w:rPr>
          <w:rFonts w:ascii="楷体" w:hAnsi="楷体" w:eastAsia="楷体" w:cs="仿宋_GB2312"/>
          <w:color w:val="000000"/>
          <w:sz w:val="28"/>
          <w:szCs w:val="28"/>
          <w:shd w:val="clear" w:color="auto" w:fill="FFFFFF"/>
        </w:rPr>
        <w:t xml:space="preserve"> </w:t>
      </w:r>
    </w:p>
    <w:p w14:paraId="1BC3A840">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hint="eastAsia" w:ascii="楷体" w:hAnsi="楷体" w:eastAsia="楷体" w:cs="仿宋_GB2312"/>
          <w:color w:val="000000"/>
          <w:sz w:val="28"/>
          <w:szCs w:val="28"/>
          <w:shd w:val="clear" w:color="auto" w:fill="FFFFFF"/>
        </w:rPr>
        <w:t>学校年度总目标的完成质量与学校内部各部门综合考核挂钩，对各部门的日常工作实行绩效考核</w:t>
      </w:r>
    </w:p>
    <w:p w14:paraId="4A4F49F9">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hint="eastAsia" w:ascii="楷体" w:hAnsi="楷体" w:eastAsia="楷体" w:cs="仿宋_GB2312"/>
          <w:color w:val="000000"/>
          <w:sz w:val="28"/>
          <w:szCs w:val="28"/>
          <w:shd w:val="clear" w:color="auto" w:fill="FFFFFF"/>
        </w:rPr>
        <w:t>2、信息公开：</w:t>
      </w:r>
      <w:r>
        <w:rPr>
          <w:rFonts w:ascii="楷体" w:hAnsi="楷体" w:eastAsia="楷体" w:cs="仿宋_GB2312"/>
          <w:color w:val="000000"/>
          <w:sz w:val="28"/>
          <w:szCs w:val="28"/>
          <w:shd w:val="clear" w:color="auto" w:fill="FFFFFF"/>
        </w:rPr>
        <w:t xml:space="preserve"> </w:t>
      </w:r>
    </w:p>
    <w:p w14:paraId="66F3FA8D">
      <w:pPr>
        <w:widowControl/>
        <w:adjustRightInd w:val="0"/>
        <w:snapToGrid w:val="0"/>
        <w:spacing w:line="580" w:lineRule="exact"/>
        <w:ind w:firstLine="560" w:firstLineChars="200"/>
        <w:contextualSpacing/>
        <w:jc w:val="left"/>
        <w:rPr>
          <w:rFonts w:hint="default" w:ascii="楷体" w:hAnsi="楷体" w:eastAsia="楷体" w:cs="仿宋_GB2312"/>
          <w:color w:val="000000"/>
          <w:sz w:val="28"/>
          <w:szCs w:val="28"/>
          <w:shd w:val="clear" w:color="auto" w:fill="FFFFFF"/>
          <w:lang w:val="en-US" w:eastAsia="zh-CN"/>
        </w:rPr>
      </w:pPr>
      <w:r>
        <w:rPr>
          <w:rFonts w:hint="eastAsia" w:ascii="楷体" w:hAnsi="楷体" w:eastAsia="楷体" w:cs="仿宋_GB2312"/>
          <w:color w:val="000000"/>
          <w:sz w:val="28"/>
          <w:szCs w:val="28"/>
          <w:shd w:val="clear" w:color="auto" w:fill="FFFFFF"/>
        </w:rPr>
        <w:t>学校所有工作均按要求在相关场合、网站等进行信息公开，接受社会监督</w:t>
      </w:r>
      <w:r>
        <w:rPr>
          <w:rFonts w:hint="eastAsia" w:ascii="楷体" w:hAnsi="楷体" w:eastAsia="楷体" w:cs="仿宋_GB2312"/>
          <w:color w:val="000000"/>
          <w:sz w:val="28"/>
          <w:szCs w:val="28"/>
          <w:shd w:val="clear" w:color="auto" w:fill="FFFFFF"/>
          <w:lang w:eastAsia="zh-CN"/>
        </w:rPr>
        <w:t>，</w:t>
      </w:r>
      <w:r>
        <w:rPr>
          <w:rFonts w:hint="eastAsia" w:ascii="楷体" w:hAnsi="楷体" w:eastAsia="楷体" w:cs="仿宋_GB2312"/>
          <w:color w:val="000000"/>
          <w:sz w:val="28"/>
          <w:szCs w:val="28"/>
          <w:shd w:val="clear" w:color="auto" w:fill="FFFFFF"/>
          <w:lang w:val="en-US" w:eastAsia="zh-CN"/>
        </w:rPr>
        <w:t>公开时候有修改的地方，自评1分</w:t>
      </w:r>
    </w:p>
    <w:p w14:paraId="40BAD79B">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hint="eastAsia" w:ascii="楷体" w:hAnsi="楷体" w:eastAsia="楷体" w:cs="仿宋_GB2312"/>
          <w:color w:val="000000"/>
          <w:sz w:val="28"/>
          <w:szCs w:val="28"/>
          <w:shd w:val="clear" w:color="auto" w:fill="FFFFFF"/>
        </w:rPr>
        <w:t>3、整改反馈：</w:t>
      </w:r>
      <w:r>
        <w:rPr>
          <w:rFonts w:ascii="楷体" w:hAnsi="楷体" w:eastAsia="楷体" w:cs="仿宋_GB2312"/>
          <w:color w:val="000000"/>
          <w:sz w:val="28"/>
          <w:szCs w:val="28"/>
          <w:shd w:val="clear" w:color="auto" w:fill="FFFFFF"/>
        </w:rPr>
        <w:t xml:space="preserve"> </w:t>
      </w:r>
    </w:p>
    <w:p w14:paraId="081EFBCC">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hint="eastAsia" w:ascii="楷体" w:hAnsi="楷体" w:eastAsia="楷体" w:cs="仿宋_GB2312"/>
          <w:color w:val="000000"/>
          <w:sz w:val="28"/>
          <w:szCs w:val="28"/>
          <w:shd w:val="clear" w:color="auto" w:fill="FFFFFF"/>
        </w:rPr>
        <w:t>预算执行过程中进行绩效监控，发现问题及时处理并与财政部门沟通和信息反馈。</w:t>
      </w:r>
    </w:p>
    <w:p w14:paraId="768E577F">
      <w:pPr>
        <w:pStyle w:val="17"/>
        <w:widowControl/>
        <w:numPr>
          <w:ilvl w:val="0"/>
          <w:numId w:val="2"/>
        </w:numPr>
        <w:adjustRightInd w:val="0"/>
        <w:snapToGrid w:val="0"/>
        <w:spacing w:line="580" w:lineRule="exact"/>
        <w:ind w:firstLineChars="0"/>
        <w:contextualSpacing/>
        <w:jc w:val="left"/>
        <w:rPr>
          <w:rFonts w:ascii="楷体" w:hAnsi="楷体" w:eastAsia="楷体" w:cs="仿宋_GB2312"/>
          <w:color w:val="000000"/>
          <w:sz w:val="28"/>
          <w:szCs w:val="28"/>
          <w:shd w:val="clear" w:color="auto" w:fill="FFFFFF"/>
        </w:rPr>
      </w:pPr>
      <w:r>
        <w:rPr>
          <w:rFonts w:ascii="楷体" w:hAnsi="楷体" w:eastAsia="楷体" w:cs="仿宋_GB2312"/>
          <w:color w:val="000000"/>
          <w:sz w:val="28"/>
          <w:szCs w:val="28"/>
          <w:shd w:val="clear" w:color="auto" w:fill="FFFFFF"/>
        </w:rPr>
        <w:t>自评质量</w:t>
      </w:r>
      <w:r>
        <w:rPr>
          <w:rFonts w:hint="eastAsia" w:ascii="楷体" w:hAnsi="楷体" w:eastAsia="楷体" w:cs="仿宋_GB2312"/>
          <w:color w:val="000000"/>
          <w:sz w:val="28"/>
          <w:szCs w:val="28"/>
          <w:shd w:val="clear" w:color="auto" w:fill="FFFFFF"/>
        </w:rPr>
        <w:t>1</w:t>
      </w:r>
      <w:r>
        <w:rPr>
          <w:rFonts w:ascii="楷体" w:hAnsi="楷体" w:eastAsia="楷体" w:cs="仿宋_GB2312"/>
          <w:color w:val="000000"/>
          <w:sz w:val="28"/>
          <w:szCs w:val="28"/>
          <w:shd w:val="clear" w:color="auto" w:fill="FFFFFF"/>
        </w:rPr>
        <w:t>0</w:t>
      </w:r>
      <w:r>
        <w:rPr>
          <w:rFonts w:hint="eastAsia" w:ascii="楷体" w:hAnsi="楷体" w:eastAsia="楷体" w:cs="仿宋_GB2312"/>
          <w:color w:val="000000"/>
          <w:sz w:val="28"/>
          <w:szCs w:val="28"/>
          <w:shd w:val="clear" w:color="auto" w:fill="FFFFFF"/>
        </w:rPr>
        <w:t>分，自评得分</w:t>
      </w:r>
      <w:r>
        <w:rPr>
          <w:rFonts w:hint="eastAsia" w:ascii="楷体" w:hAnsi="楷体" w:eastAsia="楷体" w:cs="仿宋_GB2312"/>
          <w:color w:val="000000"/>
          <w:sz w:val="28"/>
          <w:szCs w:val="28"/>
          <w:shd w:val="clear" w:color="auto" w:fill="FFFFFF"/>
          <w:lang w:val="en-US" w:eastAsia="zh-CN"/>
        </w:rPr>
        <w:t>8</w:t>
      </w:r>
      <w:r>
        <w:rPr>
          <w:rFonts w:hint="eastAsia" w:ascii="楷体" w:hAnsi="楷体" w:eastAsia="楷体" w:cs="仿宋_GB2312"/>
          <w:color w:val="000000"/>
          <w:sz w:val="28"/>
          <w:szCs w:val="28"/>
          <w:shd w:val="clear" w:color="auto" w:fill="FFFFFF"/>
        </w:rPr>
        <w:t>分。</w:t>
      </w:r>
    </w:p>
    <w:p w14:paraId="1D91B9A8">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本年度部门整体目标绩效完成情况良好。</w:t>
      </w:r>
    </w:p>
    <w:p w14:paraId="12D02F17">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质量指标达到以下目标：</w:t>
      </w:r>
    </w:p>
    <w:p w14:paraId="10A9D0B0">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1、学校教育教学工作在东区攀密片区处于领先。</w:t>
      </w:r>
    </w:p>
    <w:p w14:paraId="20CFB25D">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2、组织开展本校的教育教学科研和教育教学改革，科研兴教，科研兴校。负责对本校教育教学业务的具体管理，负责教育教学管理及教研教改工作，全力推进素质教育实施。</w:t>
      </w:r>
    </w:p>
    <w:p w14:paraId="7E4BEB24">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社会效益指标达到以下目标：</w:t>
      </w:r>
    </w:p>
    <w:p w14:paraId="5F93F6EF">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1. 十小教育人继续以“立德树人”为根本任务，以艺术、足球教育为双擎驱动，以“全面发展、多元培养”为内核，以“全面+特长、优质+特色”为宗旨，以“合格+特长，全面+多元”为育人目标，树立全面发展的教育理念，着力培养德智体美并重的优秀学子。</w:t>
      </w:r>
    </w:p>
    <w:p w14:paraId="3145FDD2">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2.办学生喜爱、家长放心、社会满意的学校。</w:t>
      </w:r>
    </w:p>
    <w:p w14:paraId="5CF90FB2">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可持续影响指标达到以下目标：根据国家、省、市《中长期教育改革与发展纲要》精神和上级有关规定，进一步修订、完善学校《章程》、教师工作和绩效工资量化考核制度、教师出勤制度、教师教学常规制度、班级学生常规管理等学校规章制度，做到学校管理规范化。</w:t>
      </w:r>
    </w:p>
    <w:p w14:paraId="79D4E6C7">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本年度区级专项资金绩效目标完成情况较好。认真贯彻落实精准帮扶工作，帮助受援学校推进课堂改革，推动学校文化建设、完善定理考核制度、提升教育教学质量，促进乡(镇)中心校教师专业发展，促进我市城乡学校改革与发展互动，扎实推进我市义务教育均衡发展。积极落实三区人才计划，全面实行义务教育“三免一补”政策，加强资金使用的监督和管理，确保执行公开、公平、公正。</w:t>
      </w:r>
    </w:p>
    <w:p w14:paraId="5F9983A5">
      <w:pPr>
        <w:pStyle w:val="20"/>
        <w:ind w:left="243" w:firstLine="560" w:firstLineChars="200"/>
        <w:rPr>
          <w:rFonts w:ascii="楷体" w:hAnsi="楷体" w:eastAsia="楷体"/>
          <w:color w:val="000000"/>
          <w:sz w:val="28"/>
          <w:szCs w:val="28"/>
          <w:shd w:val="clear" w:color="auto" w:fill="FFFFFF"/>
        </w:rPr>
      </w:pPr>
      <w:r>
        <w:rPr>
          <w:rFonts w:ascii="楷体" w:hAnsi="楷体" w:eastAsia="楷体"/>
          <w:color w:val="000000"/>
          <w:sz w:val="28"/>
          <w:szCs w:val="28"/>
          <w:shd w:val="clear" w:color="auto" w:fill="FFFFFF"/>
        </w:rPr>
        <w:t>四、评价结论及建议</w:t>
      </w:r>
    </w:p>
    <w:p w14:paraId="235617FE">
      <w:pPr>
        <w:pStyle w:val="20"/>
        <w:ind w:left="243" w:firstLine="560" w:firstLineChars="200"/>
        <w:rPr>
          <w:rFonts w:ascii="楷体" w:hAnsi="楷体" w:eastAsia="楷体"/>
          <w:color w:val="000000"/>
          <w:sz w:val="28"/>
          <w:szCs w:val="28"/>
          <w:shd w:val="clear" w:color="auto" w:fill="FFFFFF"/>
        </w:rPr>
      </w:pPr>
      <w:r>
        <w:rPr>
          <w:rFonts w:ascii="楷体" w:hAnsi="楷体" w:eastAsia="楷体"/>
          <w:color w:val="000000"/>
          <w:sz w:val="28"/>
          <w:szCs w:val="28"/>
          <w:shd w:val="clear" w:color="auto" w:fill="FFFFFF"/>
        </w:rPr>
        <w:t>（一）评价结论。</w:t>
      </w:r>
    </w:p>
    <w:p w14:paraId="7A0AA861">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在202</w:t>
      </w:r>
      <w:r>
        <w:rPr>
          <w:rFonts w:hint="eastAsia" w:ascii="楷体" w:hAnsi="楷体" w:eastAsia="楷体"/>
          <w:color w:val="000000"/>
          <w:sz w:val="28"/>
          <w:szCs w:val="28"/>
          <w:shd w:val="clear" w:color="auto" w:fill="FFFFFF"/>
          <w:lang w:val="en-US" w:eastAsia="zh-CN"/>
        </w:rPr>
        <w:t>3</w:t>
      </w:r>
      <w:r>
        <w:rPr>
          <w:rFonts w:hint="eastAsia" w:ascii="楷体" w:hAnsi="楷体" w:eastAsia="楷体"/>
          <w:color w:val="000000"/>
          <w:sz w:val="28"/>
          <w:szCs w:val="28"/>
          <w:shd w:val="clear" w:color="auto" w:fill="FFFFFF"/>
        </w:rPr>
        <w:t>年度，攀枝花市第十小学校在预算执行、预算管理及职责履行等方面情况较好，产生了较好的社会效益，在全体教职员工的共同努力下，基本完成年初预算绩效目标。通过部门预算项目绩效管理、绩效结果应用、专项预算项目绩效管理、自评质量等方面的自评，部门整体支出绩效评价得分9</w:t>
      </w:r>
      <w:r>
        <w:rPr>
          <w:rFonts w:hint="eastAsia" w:ascii="楷体" w:hAnsi="楷体" w:eastAsia="楷体"/>
          <w:color w:val="000000"/>
          <w:sz w:val="28"/>
          <w:szCs w:val="28"/>
          <w:shd w:val="clear" w:color="auto" w:fill="FFFFFF"/>
          <w:lang w:val="en-US" w:eastAsia="zh-CN"/>
        </w:rPr>
        <w:t>3</w:t>
      </w:r>
      <w:r>
        <w:rPr>
          <w:rFonts w:hint="eastAsia" w:ascii="楷体" w:hAnsi="楷体" w:eastAsia="楷体"/>
          <w:color w:val="000000"/>
          <w:sz w:val="28"/>
          <w:szCs w:val="28"/>
          <w:shd w:val="clear" w:color="auto" w:fill="FFFFFF"/>
        </w:rPr>
        <w:t>分。</w:t>
      </w:r>
    </w:p>
    <w:p w14:paraId="3607EE30">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（二）</w:t>
      </w:r>
      <w:r>
        <w:rPr>
          <w:rFonts w:ascii="楷体" w:hAnsi="楷体" w:eastAsia="楷体"/>
          <w:color w:val="000000"/>
          <w:sz w:val="28"/>
          <w:szCs w:val="28"/>
          <w:shd w:val="clear" w:color="auto" w:fill="FFFFFF"/>
        </w:rPr>
        <w:t>存在问题。</w:t>
      </w:r>
    </w:p>
    <w:p w14:paraId="75CE17C5">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本年度学校在绩效目标的执行过程中还存在下列问题：</w:t>
      </w:r>
    </w:p>
    <w:p w14:paraId="27DC377D">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1、学校财务人员是兼职，专业知识水平低，对绩效目标评价体系要深入理解，客观评价。</w:t>
      </w:r>
      <w:bookmarkStart w:id="0" w:name="_GoBack"/>
      <w:bookmarkEnd w:id="0"/>
    </w:p>
    <w:p w14:paraId="66C74D55">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2、绩效目标的绩效自评模式经常改变，建议设计一个常用的通俗易懂的形式。</w:t>
      </w:r>
    </w:p>
    <w:p w14:paraId="7E1C5551">
      <w:pPr>
        <w:widowControl/>
        <w:adjustRightInd w:val="0"/>
        <w:snapToGrid w:val="0"/>
        <w:spacing w:line="580" w:lineRule="exact"/>
        <w:ind w:firstLine="560" w:firstLineChars="200"/>
        <w:contextualSpacing/>
        <w:jc w:val="left"/>
        <w:rPr>
          <w:rFonts w:ascii="楷体" w:hAnsi="楷体" w:eastAsia="楷体" w:cs="仿宋_GB2312"/>
          <w:color w:val="000000"/>
          <w:sz w:val="28"/>
          <w:szCs w:val="28"/>
          <w:shd w:val="clear" w:color="auto" w:fill="FFFFFF"/>
        </w:rPr>
      </w:pPr>
      <w:r>
        <w:rPr>
          <w:rFonts w:ascii="楷体" w:hAnsi="楷体" w:eastAsia="楷体" w:cs="仿宋_GB2312"/>
          <w:color w:val="000000"/>
          <w:sz w:val="28"/>
          <w:szCs w:val="28"/>
          <w:shd w:val="clear" w:color="auto" w:fill="FFFFFF"/>
        </w:rPr>
        <w:t>（三）改进建议。</w:t>
      </w:r>
    </w:p>
    <w:p w14:paraId="30DD201D">
      <w:pPr>
        <w:pStyle w:val="20"/>
        <w:ind w:left="243" w:firstLine="560" w:firstLineChars="200"/>
        <w:rPr>
          <w:rFonts w:ascii="楷体" w:hAnsi="楷体" w:eastAsia="楷体"/>
          <w:color w:val="000000"/>
          <w:sz w:val="28"/>
          <w:szCs w:val="28"/>
          <w:shd w:val="clear" w:color="auto" w:fill="FFFFFF"/>
        </w:rPr>
      </w:pPr>
      <w:r>
        <w:rPr>
          <w:rFonts w:hint="eastAsia" w:ascii="楷体" w:hAnsi="楷体" w:eastAsia="楷体"/>
          <w:color w:val="000000"/>
          <w:sz w:val="28"/>
          <w:szCs w:val="28"/>
          <w:shd w:val="clear" w:color="auto" w:fill="FFFFFF"/>
        </w:rPr>
        <w:t>1、进一步提高财务人员自身业务能力水平，加强思想和业务培训。</w:t>
      </w:r>
    </w:p>
    <w:p w14:paraId="2E0D668A">
      <w:pPr>
        <w:pStyle w:val="20"/>
        <w:ind w:left="243" w:firstLine="560" w:firstLineChars="200"/>
        <w:rPr>
          <w:rFonts w:ascii="楷体" w:hAnsi="楷体" w:eastAsia="楷体"/>
          <w:color w:val="000000"/>
          <w:sz w:val="28"/>
          <w:szCs w:val="28"/>
          <w:shd w:val="clear" w:color="auto" w:fill="FFFFFF"/>
        </w:rPr>
      </w:pPr>
      <w:r>
        <w:rPr>
          <w:rFonts w:ascii="楷体" w:hAnsi="楷体" w:eastAsia="楷体"/>
          <w:color w:val="000000"/>
          <w:sz w:val="28"/>
          <w:szCs w:val="28"/>
          <w:shd w:val="clear" w:color="auto" w:fill="FFFFFF"/>
        </w:rPr>
        <w:t>2</w:t>
      </w:r>
      <w:r>
        <w:rPr>
          <w:rFonts w:hint="eastAsia" w:ascii="楷体" w:hAnsi="楷体" w:eastAsia="楷体"/>
          <w:color w:val="000000"/>
          <w:sz w:val="28"/>
          <w:szCs w:val="28"/>
          <w:shd w:val="clear" w:color="auto" w:fill="FFFFFF"/>
        </w:rPr>
        <w:t>、严格按照上级要有关要求进一步做好绩效评价工作。</w:t>
      </w:r>
    </w:p>
    <w:sectPr>
      <w:headerReference r:id="rId3" w:type="default"/>
      <w:footerReference r:id="rId4" w:type="default"/>
      <w:footerReference r:id="rId5"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07539">
    <w:pPr>
      <w:pStyle w:val="5"/>
    </w:pPr>
  </w:p>
  <w:p w14:paraId="5683795E">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831518"/>
    </w:sdtPr>
    <w:sdtContent>
      <w:p w14:paraId="46DF51B3">
        <w:pPr>
          <w:pStyle w:val="5"/>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12 -</w:t>
        </w:r>
        <w:r>
          <w:rPr>
            <w:rFonts w:asciiTheme="minorEastAsia" w:hAnsiTheme="minorEastAsia" w:eastAsiaTheme="minorEastAsia"/>
            <w:sz w:val="28"/>
            <w:szCs w:val="28"/>
          </w:rPr>
          <w:fldChar w:fldCharType="end"/>
        </w:r>
      </w:p>
    </w:sdtContent>
  </w:sdt>
  <w:p w14:paraId="522CE963">
    <w:pPr>
      <w:pStyle w:val="5"/>
      <w:tabs>
        <w:tab w:val="right" w:pos="9184"/>
        <w:tab w:val="clear" w:pos="4153"/>
        <w:tab w:val="clear" w:pos="8306"/>
      </w:tabs>
      <w:rPr>
        <w:rFonts w:ascii="宋体"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BF9E2">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F97363"/>
    <w:multiLevelType w:val="multilevel"/>
    <w:tmpl w:val="1AF97363"/>
    <w:lvl w:ilvl="0" w:tentative="0">
      <w:start w:val="4"/>
      <w:numFmt w:val="japaneseCounting"/>
      <w:lvlText w:val="（%1）"/>
      <w:lvlJc w:val="left"/>
      <w:pPr>
        <w:ind w:left="1720" w:hanging="108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abstractNum w:abstractNumId="1">
    <w:nsid w:val="4EC92812"/>
    <w:multiLevelType w:val="multilevel"/>
    <w:tmpl w:val="4EC92812"/>
    <w:lvl w:ilvl="0" w:tentative="0">
      <w:start w:val="1"/>
      <w:numFmt w:val="japaneseCounting"/>
      <w:lvlText w:val="（%1）"/>
      <w:lvlJc w:val="left"/>
      <w:pPr>
        <w:ind w:left="1585" w:hanging="945"/>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mZDU0NTI0NzdjZTBlZTliMDFjMjFhMGY4NmRmYmYifQ=="/>
  </w:docVars>
  <w:rsids>
    <w:rsidRoot w:val="00EC0174"/>
    <w:rsid w:val="00004BDA"/>
    <w:rsid w:val="00006E4D"/>
    <w:rsid w:val="00010D0E"/>
    <w:rsid w:val="00021652"/>
    <w:rsid w:val="00030311"/>
    <w:rsid w:val="00030782"/>
    <w:rsid w:val="00030B66"/>
    <w:rsid w:val="0006102A"/>
    <w:rsid w:val="000635AA"/>
    <w:rsid w:val="00065B0F"/>
    <w:rsid w:val="00065E7E"/>
    <w:rsid w:val="000820BB"/>
    <w:rsid w:val="0008241B"/>
    <w:rsid w:val="00092280"/>
    <w:rsid w:val="00095FB3"/>
    <w:rsid w:val="00097B6E"/>
    <w:rsid w:val="00097FAE"/>
    <w:rsid w:val="000A0C18"/>
    <w:rsid w:val="000A3233"/>
    <w:rsid w:val="000A7CE3"/>
    <w:rsid w:val="000B04D6"/>
    <w:rsid w:val="000B15CE"/>
    <w:rsid w:val="000C40C6"/>
    <w:rsid w:val="000C79C1"/>
    <w:rsid w:val="000D18F4"/>
    <w:rsid w:val="000D208A"/>
    <w:rsid w:val="000D21BD"/>
    <w:rsid w:val="000D309F"/>
    <w:rsid w:val="000E037E"/>
    <w:rsid w:val="000E7362"/>
    <w:rsid w:val="000F659A"/>
    <w:rsid w:val="000F77B0"/>
    <w:rsid w:val="00101699"/>
    <w:rsid w:val="0010235D"/>
    <w:rsid w:val="00103A47"/>
    <w:rsid w:val="00106D4D"/>
    <w:rsid w:val="001119A2"/>
    <w:rsid w:val="00117977"/>
    <w:rsid w:val="001221D6"/>
    <w:rsid w:val="0012510A"/>
    <w:rsid w:val="00125A27"/>
    <w:rsid w:val="00125F67"/>
    <w:rsid w:val="001261AE"/>
    <w:rsid w:val="00133A93"/>
    <w:rsid w:val="001348A4"/>
    <w:rsid w:val="0013681A"/>
    <w:rsid w:val="0014117C"/>
    <w:rsid w:val="00146FE8"/>
    <w:rsid w:val="0014767B"/>
    <w:rsid w:val="00147AED"/>
    <w:rsid w:val="001571C4"/>
    <w:rsid w:val="001762C5"/>
    <w:rsid w:val="00177AAF"/>
    <w:rsid w:val="00183850"/>
    <w:rsid w:val="00184D9F"/>
    <w:rsid w:val="001921AC"/>
    <w:rsid w:val="001A3FA9"/>
    <w:rsid w:val="001A4749"/>
    <w:rsid w:val="001A4842"/>
    <w:rsid w:val="001A5833"/>
    <w:rsid w:val="001C2158"/>
    <w:rsid w:val="001C51F2"/>
    <w:rsid w:val="001C73AB"/>
    <w:rsid w:val="001D2035"/>
    <w:rsid w:val="001D2EA4"/>
    <w:rsid w:val="001E31DB"/>
    <w:rsid w:val="001E5642"/>
    <w:rsid w:val="001F47CE"/>
    <w:rsid w:val="001F5776"/>
    <w:rsid w:val="001F7856"/>
    <w:rsid w:val="00205AA7"/>
    <w:rsid w:val="0020620D"/>
    <w:rsid w:val="002069BC"/>
    <w:rsid w:val="002069EB"/>
    <w:rsid w:val="002201B0"/>
    <w:rsid w:val="00220900"/>
    <w:rsid w:val="0022307E"/>
    <w:rsid w:val="00224D05"/>
    <w:rsid w:val="00232246"/>
    <w:rsid w:val="002323A3"/>
    <w:rsid w:val="00232FDC"/>
    <w:rsid w:val="00236EF7"/>
    <w:rsid w:val="0024058A"/>
    <w:rsid w:val="002410C0"/>
    <w:rsid w:val="00243A73"/>
    <w:rsid w:val="0024500B"/>
    <w:rsid w:val="00252894"/>
    <w:rsid w:val="00253FA6"/>
    <w:rsid w:val="00254728"/>
    <w:rsid w:val="002550E7"/>
    <w:rsid w:val="002558D4"/>
    <w:rsid w:val="002560E2"/>
    <w:rsid w:val="00264CFA"/>
    <w:rsid w:val="00267C78"/>
    <w:rsid w:val="00270DD7"/>
    <w:rsid w:val="00276F4A"/>
    <w:rsid w:val="00280BFB"/>
    <w:rsid w:val="00280C88"/>
    <w:rsid w:val="002832CD"/>
    <w:rsid w:val="002973A4"/>
    <w:rsid w:val="002A0195"/>
    <w:rsid w:val="002A3186"/>
    <w:rsid w:val="002B2287"/>
    <w:rsid w:val="002B5B34"/>
    <w:rsid w:val="002B6906"/>
    <w:rsid w:val="002B7215"/>
    <w:rsid w:val="002B78CD"/>
    <w:rsid w:val="002C0A33"/>
    <w:rsid w:val="002C0AFD"/>
    <w:rsid w:val="002C30B6"/>
    <w:rsid w:val="002C59D0"/>
    <w:rsid w:val="002C73BB"/>
    <w:rsid w:val="002D1A18"/>
    <w:rsid w:val="002D6C79"/>
    <w:rsid w:val="002E0120"/>
    <w:rsid w:val="002E09F1"/>
    <w:rsid w:val="002E1104"/>
    <w:rsid w:val="002E3FDD"/>
    <w:rsid w:val="00300EF4"/>
    <w:rsid w:val="00301353"/>
    <w:rsid w:val="00305FF6"/>
    <w:rsid w:val="0030610F"/>
    <w:rsid w:val="00307568"/>
    <w:rsid w:val="00307824"/>
    <w:rsid w:val="00311506"/>
    <w:rsid w:val="00316ADB"/>
    <w:rsid w:val="00317623"/>
    <w:rsid w:val="0033109F"/>
    <w:rsid w:val="00335F67"/>
    <w:rsid w:val="003361E9"/>
    <w:rsid w:val="003369B9"/>
    <w:rsid w:val="0034123A"/>
    <w:rsid w:val="00350A65"/>
    <w:rsid w:val="0035548E"/>
    <w:rsid w:val="00361C85"/>
    <w:rsid w:val="00371352"/>
    <w:rsid w:val="00376753"/>
    <w:rsid w:val="00383138"/>
    <w:rsid w:val="0038541D"/>
    <w:rsid w:val="00385AB7"/>
    <w:rsid w:val="003864B0"/>
    <w:rsid w:val="00387818"/>
    <w:rsid w:val="00390DA2"/>
    <w:rsid w:val="00391A13"/>
    <w:rsid w:val="00391FD0"/>
    <w:rsid w:val="003936B3"/>
    <w:rsid w:val="003A1D70"/>
    <w:rsid w:val="003A44FC"/>
    <w:rsid w:val="003B3299"/>
    <w:rsid w:val="003C625D"/>
    <w:rsid w:val="003D10A2"/>
    <w:rsid w:val="003D33B8"/>
    <w:rsid w:val="003D457A"/>
    <w:rsid w:val="003D624D"/>
    <w:rsid w:val="003D719A"/>
    <w:rsid w:val="003F44E7"/>
    <w:rsid w:val="003F5EB7"/>
    <w:rsid w:val="003F7FE2"/>
    <w:rsid w:val="004004E7"/>
    <w:rsid w:val="00403EAC"/>
    <w:rsid w:val="00416E1A"/>
    <w:rsid w:val="004200A2"/>
    <w:rsid w:val="00426A3F"/>
    <w:rsid w:val="004277D4"/>
    <w:rsid w:val="004472C5"/>
    <w:rsid w:val="00461638"/>
    <w:rsid w:val="004629DD"/>
    <w:rsid w:val="004664F1"/>
    <w:rsid w:val="004706FA"/>
    <w:rsid w:val="00474D8D"/>
    <w:rsid w:val="00475CCD"/>
    <w:rsid w:val="00477266"/>
    <w:rsid w:val="004811BC"/>
    <w:rsid w:val="004838F2"/>
    <w:rsid w:val="00484090"/>
    <w:rsid w:val="00485540"/>
    <w:rsid w:val="00486492"/>
    <w:rsid w:val="00492CF6"/>
    <w:rsid w:val="004A04BD"/>
    <w:rsid w:val="004A4C9D"/>
    <w:rsid w:val="004C2078"/>
    <w:rsid w:val="004C228F"/>
    <w:rsid w:val="004E752F"/>
    <w:rsid w:val="004F112F"/>
    <w:rsid w:val="004F1E37"/>
    <w:rsid w:val="00505440"/>
    <w:rsid w:val="00507649"/>
    <w:rsid w:val="00513AF2"/>
    <w:rsid w:val="00515198"/>
    <w:rsid w:val="00521C44"/>
    <w:rsid w:val="005274E1"/>
    <w:rsid w:val="00531DDF"/>
    <w:rsid w:val="00535FA6"/>
    <w:rsid w:val="00542AB7"/>
    <w:rsid w:val="00543329"/>
    <w:rsid w:val="0055358D"/>
    <w:rsid w:val="00553B6A"/>
    <w:rsid w:val="005540C8"/>
    <w:rsid w:val="00555809"/>
    <w:rsid w:val="005569E2"/>
    <w:rsid w:val="00562165"/>
    <w:rsid w:val="005756AF"/>
    <w:rsid w:val="00575A4A"/>
    <w:rsid w:val="00591B6F"/>
    <w:rsid w:val="005A1DAF"/>
    <w:rsid w:val="005B1688"/>
    <w:rsid w:val="005B1E7B"/>
    <w:rsid w:val="005C17C8"/>
    <w:rsid w:val="005C2098"/>
    <w:rsid w:val="005C2E6C"/>
    <w:rsid w:val="005D0CCF"/>
    <w:rsid w:val="005D1C01"/>
    <w:rsid w:val="005D594D"/>
    <w:rsid w:val="005E297D"/>
    <w:rsid w:val="005E3F12"/>
    <w:rsid w:val="005F351A"/>
    <w:rsid w:val="005F3DE8"/>
    <w:rsid w:val="005F627E"/>
    <w:rsid w:val="006028A1"/>
    <w:rsid w:val="0061652E"/>
    <w:rsid w:val="006205E9"/>
    <w:rsid w:val="00622D0B"/>
    <w:rsid w:val="006270DA"/>
    <w:rsid w:val="00630B75"/>
    <w:rsid w:val="0063102F"/>
    <w:rsid w:val="00634DFF"/>
    <w:rsid w:val="00635337"/>
    <w:rsid w:val="0064265B"/>
    <w:rsid w:val="00642A91"/>
    <w:rsid w:val="0064519C"/>
    <w:rsid w:val="0065082E"/>
    <w:rsid w:val="006512D0"/>
    <w:rsid w:val="006560A3"/>
    <w:rsid w:val="00656301"/>
    <w:rsid w:val="006600C9"/>
    <w:rsid w:val="0066486B"/>
    <w:rsid w:val="006664F1"/>
    <w:rsid w:val="00667118"/>
    <w:rsid w:val="006701CC"/>
    <w:rsid w:val="00671F58"/>
    <w:rsid w:val="006762A4"/>
    <w:rsid w:val="006900E7"/>
    <w:rsid w:val="006A00A8"/>
    <w:rsid w:val="006A482D"/>
    <w:rsid w:val="006B11E0"/>
    <w:rsid w:val="006B386A"/>
    <w:rsid w:val="006B7CB4"/>
    <w:rsid w:val="006C24D3"/>
    <w:rsid w:val="006C6009"/>
    <w:rsid w:val="006C76FA"/>
    <w:rsid w:val="006C7917"/>
    <w:rsid w:val="006D2BEB"/>
    <w:rsid w:val="006E1084"/>
    <w:rsid w:val="006E51AE"/>
    <w:rsid w:val="0070081F"/>
    <w:rsid w:val="007018F5"/>
    <w:rsid w:val="00710897"/>
    <w:rsid w:val="00710F11"/>
    <w:rsid w:val="007118BD"/>
    <w:rsid w:val="00712F45"/>
    <w:rsid w:val="00732442"/>
    <w:rsid w:val="00734305"/>
    <w:rsid w:val="007370E1"/>
    <w:rsid w:val="00765B9C"/>
    <w:rsid w:val="007732A1"/>
    <w:rsid w:val="00774C4A"/>
    <w:rsid w:val="00782BBB"/>
    <w:rsid w:val="0078505D"/>
    <w:rsid w:val="007A0690"/>
    <w:rsid w:val="007A078F"/>
    <w:rsid w:val="007B16B9"/>
    <w:rsid w:val="007B34D4"/>
    <w:rsid w:val="007C0633"/>
    <w:rsid w:val="007D086C"/>
    <w:rsid w:val="007D64BA"/>
    <w:rsid w:val="007F1BE1"/>
    <w:rsid w:val="007F4463"/>
    <w:rsid w:val="007F707F"/>
    <w:rsid w:val="007F794C"/>
    <w:rsid w:val="007F7AC9"/>
    <w:rsid w:val="00803B42"/>
    <w:rsid w:val="008073EF"/>
    <w:rsid w:val="0081095C"/>
    <w:rsid w:val="00810C41"/>
    <w:rsid w:val="008212FF"/>
    <w:rsid w:val="0082593B"/>
    <w:rsid w:val="00827537"/>
    <w:rsid w:val="0083365E"/>
    <w:rsid w:val="00837339"/>
    <w:rsid w:val="008468EA"/>
    <w:rsid w:val="00867140"/>
    <w:rsid w:val="00881134"/>
    <w:rsid w:val="008904F0"/>
    <w:rsid w:val="008961DA"/>
    <w:rsid w:val="008A7E8C"/>
    <w:rsid w:val="008B2F27"/>
    <w:rsid w:val="008B4A72"/>
    <w:rsid w:val="008B585E"/>
    <w:rsid w:val="008E6C0C"/>
    <w:rsid w:val="008E76B5"/>
    <w:rsid w:val="008F1E63"/>
    <w:rsid w:val="008F3052"/>
    <w:rsid w:val="00901E19"/>
    <w:rsid w:val="009103E2"/>
    <w:rsid w:val="009214F7"/>
    <w:rsid w:val="00921CD7"/>
    <w:rsid w:val="009259CF"/>
    <w:rsid w:val="00940EB6"/>
    <w:rsid w:val="00944771"/>
    <w:rsid w:val="00946348"/>
    <w:rsid w:val="00950FF2"/>
    <w:rsid w:val="009601FC"/>
    <w:rsid w:val="00963DD0"/>
    <w:rsid w:val="00965426"/>
    <w:rsid w:val="0096654A"/>
    <w:rsid w:val="009711E4"/>
    <w:rsid w:val="00971572"/>
    <w:rsid w:val="00971D43"/>
    <w:rsid w:val="00981E55"/>
    <w:rsid w:val="00986CEF"/>
    <w:rsid w:val="00987212"/>
    <w:rsid w:val="009A0E5F"/>
    <w:rsid w:val="009D3019"/>
    <w:rsid w:val="009F1AF3"/>
    <w:rsid w:val="009F233E"/>
    <w:rsid w:val="00A024AB"/>
    <w:rsid w:val="00A050A5"/>
    <w:rsid w:val="00A05B8B"/>
    <w:rsid w:val="00A1372F"/>
    <w:rsid w:val="00A170EC"/>
    <w:rsid w:val="00A217B3"/>
    <w:rsid w:val="00A23D04"/>
    <w:rsid w:val="00A243A3"/>
    <w:rsid w:val="00A277D9"/>
    <w:rsid w:val="00A30CEB"/>
    <w:rsid w:val="00A31318"/>
    <w:rsid w:val="00A503AD"/>
    <w:rsid w:val="00A5432A"/>
    <w:rsid w:val="00A55F8A"/>
    <w:rsid w:val="00A62A27"/>
    <w:rsid w:val="00A71F11"/>
    <w:rsid w:val="00A83D6B"/>
    <w:rsid w:val="00A9550A"/>
    <w:rsid w:val="00A9670E"/>
    <w:rsid w:val="00AA1423"/>
    <w:rsid w:val="00AB7996"/>
    <w:rsid w:val="00AB7C13"/>
    <w:rsid w:val="00AC43C3"/>
    <w:rsid w:val="00AC4F20"/>
    <w:rsid w:val="00AC7479"/>
    <w:rsid w:val="00AE2EAD"/>
    <w:rsid w:val="00AF480B"/>
    <w:rsid w:val="00AF77BE"/>
    <w:rsid w:val="00B079E3"/>
    <w:rsid w:val="00B07A68"/>
    <w:rsid w:val="00B108B5"/>
    <w:rsid w:val="00B11CEE"/>
    <w:rsid w:val="00B14E7D"/>
    <w:rsid w:val="00B23428"/>
    <w:rsid w:val="00B25F1C"/>
    <w:rsid w:val="00B264BF"/>
    <w:rsid w:val="00B3387B"/>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A0CBF"/>
    <w:rsid w:val="00BA2873"/>
    <w:rsid w:val="00BB1EB3"/>
    <w:rsid w:val="00BB4E38"/>
    <w:rsid w:val="00BC3879"/>
    <w:rsid w:val="00BD0E0D"/>
    <w:rsid w:val="00BD41BC"/>
    <w:rsid w:val="00BD55AD"/>
    <w:rsid w:val="00BE0305"/>
    <w:rsid w:val="00BE57A3"/>
    <w:rsid w:val="00BF15F0"/>
    <w:rsid w:val="00BF7DF9"/>
    <w:rsid w:val="00C03559"/>
    <w:rsid w:val="00C05395"/>
    <w:rsid w:val="00C07682"/>
    <w:rsid w:val="00C22AD7"/>
    <w:rsid w:val="00C272C1"/>
    <w:rsid w:val="00C32A68"/>
    <w:rsid w:val="00C34282"/>
    <w:rsid w:val="00C35350"/>
    <w:rsid w:val="00C3564B"/>
    <w:rsid w:val="00C42B49"/>
    <w:rsid w:val="00C53721"/>
    <w:rsid w:val="00C55AEB"/>
    <w:rsid w:val="00C64D2E"/>
    <w:rsid w:val="00C70F97"/>
    <w:rsid w:val="00C7497C"/>
    <w:rsid w:val="00C757A2"/>
    <w:rsid w:val="00C75966"/>
    <w:rsid w:val="00C76577"/>
    <w:rsid w:val="00C80225"/>
    <w:rsid w:val="00C80B66"/>
    <w:rsid w:val="00C81349"/>
    <w:rsid w:val="00C867DB"/>
    <w:rsid w:val="00C93139"/>
    <w:rsid w:val="00CA08A0"/>
    <w:rsid w:val="00CA32D2"/>
    <w:rsid w:val="00CA4E07"/>
    <w:rsid w:val="00CA737D"/>
    <w:rsid w:val="00CB1EF5"/>
    <w:rsid w:val="00CC05D4"/>
    <w:rsid w:val="00CC44E5"/>
    <w:rsid w:val="00CC7166"/>
    <w:rsid w:val="00CE2DA8"/>
    <w:rsid w:val="00CF5275"/>
    <w:rsid w:val="00CF6136"/>
    <w:rsid w:val="00D0023D"/>
    <w:rsid w:val="00D006C6"/>
    <w:rsid w:val="00D00B2D"/>
    <w:rsid w:val="00D14A65"/>
    <w:rsid w:val="00D162B9"/>
    <w:rsid w:val="00D251E2"/>
    <w:rsid w:val="00D254F4"/>
    <w:rsid w:val="00D263A7"/>
    <w:rsid w:val="00D26B5D"/>
    <w:rsid w:val="00D33159"/>
    <w:rsid w:val="00D33A19"/>
    <w:rsid w:val="00D35361"/>
    <w:rsid w:val="00D355B5"/>
    <w:rsid w:val="00D43DC3"/>
    <w:rsid w:val="00D43FCF"/>
    <w:rsid w:val="00D5065A"/>
    <w:rsid w:val="00D51791"/>
    <w:rsid w:val="00D5281E"/>
    <w:rsid w:val="00D6531B"/>
    <w:rsid w:val="00D6612D"/>
    <w:rsid w:val="00D71AD9"/>
    <w:rsid w:val="00D73C02"/>
    <w:rsid w:val="00D872ED"/>
    <w:rsid w:val="00D913C6"/>
    <w:rsid w:val="00D9651C"/>
    <w:rsid w:val="00D96DD4"/>
    <w:rsid w:val="00DA0236"/>
    <w:rsid w:val="00DA1787"/>
    <w:rsid w:val="00DA5D51"/>
    <w:rsid w:val="00DA5E29"/>
    <w:rsid w:val="00DA61CA"/>
    <w:rsid w:val="00DB66BB"/>
    <w:rsid w:val="00DB73AF"/>
    <w:rsid w:val="00DC2865"/>
    <w:rsid w:val="00DC51CC"/>
    <w:rsid w:val="00DD0894"/>
    <w:rsid w:val="00DD5C9C"/>
    <w:rsid w:val="00DE1888"/>
    <w:rsid w:val="00DE4A35"/>
    <w:rsid w:val="00DF0422"/>
    <w:rsid w:val="00DF1250"/>
    <w:rsid w:val="00DF6EF7"/>
    <w:rsid w:val="00E028B0"/>
    <w:rsid w:val="00E05454"/>
    <w:rsid w:val="00E074C3"/>
    <w:rsid w:val="00E230FA"/>
    <w:rsid w:val="00E23329"/>
    <w:rsid w:val="00E24D6D"/>
    <w:rsid w:val="00E341B2"/>
    <w:rsid w:val="00E42633"/>
    <w:rsid w:val="00E47E0F"/>
    <w:rsid w:val="00E5699E"/>
    <w:rsid w:val="00E570E1"/>
    <w:rsid w:val="00E70F41"/>
    <w:rsid w:val="00E72773"/>
    <w:rsid w:val="00E76739"/>
    <w:rsid w:val="00E81946"/>
    <w:rsid w:val="00E82BB7"/>
    <w:rsid w:val="00E83C34"/>
    <w:rsid w:val="00E86D13"/>
    <w:rsid w:val="00E910B9"/>
    <w:rsid w:val="00E936C2"/>
    <w:rsid w:val="00E94D68"/>
    <w:rsid w:val="00E94DFE"/>
    <w:rsid w:val="00E95346"/>
    <w:rsid w:val="00EA0CEF"/>
    <w:rsid w:val="00EA2E2A"/>
    <w:rsid w:val="00EB79D2"/>
    <w:rsid w:val="00EC0174"/>
    <w:rsid w:val="00ED209C"/>
    <w:rsid w:val="00ED3EEB"/>
    <w:rsid w:val="00ED5749"/>
    <w:rsid w:val="00ED5FA3"/>
    <w:rsid w:val="00ED68C4"/>
    <w:rsid w:val="00ED6A4E"/>
    <w:rsid w:val="00ED72EA"/>
    <w:rsid w:val="00EE3A4F"/>
    <w:rsid w:val="00EF10C3"/>
    <w:rsid w:val="00EF3B06"/>
    <w:rsid w:val="00EF3BD2"/>
    <w:rsid w:val="00F0173F"/>
    <w:rsid w:val="00F02935"/>
    <w:rsid w:val="00F16BCE"/>
    <w:rsid w:val="00F17733"/>
    <w:rsid w:val="00F45DA1"/>
    <w:rsid w:val="00F5267B"/>
    <w:rsid w:val="00F53E8B"/>
    <w:rsid w:val="00F623E3"/>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E6266"/>
    <w:rsid w:val="00FF2572"/>
    <w:rsid w:val="00FF32AD"/>
    <w:rsid w:val="0DC31556"/>
    <w:rsid w:val="127B2E60"/>
    <w:rsid w:val="1425792D"/>
    <w:rsid w:val="1A3D6143"/>
    <w:rsid w:val="1C013801"/>
    <w:rsid w:val="26D549AA"/>
    <w:rsid w:val="2D527252"/>
    <w:rsid w:val="2EAE55F2"/>
    <w:rsid w:val="2EDF4302"/>
    <w:rsid w:val="36205AEA"/>
    <w:rsid w:val="3DFF6D05"/>
    <w:rsid w:val="47550EBA"/>
    <w:rsid w:val="4E9D4C26"/>
    <w:rsid w:val="5A683D99"/>
    <w:rsid w:val="6636451A"/>
    <w:rsid w:val="6EF65E9C"/>
    <w:rsid w:val="71397E03"/>
    <w:rsid w:val="77FFA8F9"/>
    <w:rsid w:val="7A9314AC"/>
    <w:rsid w:val="7C631402"/>
    <w:rsid w:val="7DAA0006"/>
    <w:rsid w:val="7E140770"/>
    <w:rsid w:val="7FEFB5DD"/>
    <w:rsid w:val="B5F66F24"/>
    <w:rsid w:val="C5B3F496"/>
    <w:rsid w:val="DDD7453A"/>
    <w:rsid w:val="DFE75A3D"/>
    <w:rsid w:val="DFEF594B"/>
    <w:rsid w:val="F1F9A9B5"/>
    <w:rsid w:val="FABF7411"/>
    <w:rsid w:val="FEFD95B3"/>
    <w:rsid w:val="FF2E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ocument Map"/>
    <w:basedOn w:val="1"/>
    <w:link w:val="13"/>
    <w:qFormat/>
    <w:uiPriority w:val="0"/>
    <w:rPr>
      <w:rFonts w:ascii="宋体" w:eastAsia="宋体"/>
      <w:sz w:val="18"/>
      <w:szCs w:val="18"/>
    </w:rPr>
  </w:style>
  <w:style w:type="paragraph" w:styleId="3">
    <w:name w:val="Plain Text"/>
    <w:basedOn w:val="1"/>
    <w:link w:val="19"/>
    <w:qFormat/>
    <w:uiPriority w:val="0"/>
    <w:rPr>
      <w:rFonts w:ascii="宋体" w:hAnsi="Courier New" w:eastAsia="宋体"/>
      <w:sz w:val="21"/>
    </w:rPr>
  </w:style>
  <w:style w:type="paragraph" w:styleId="4">
    <w:name w:val="Balloon Text"/>
    <w:basedOn w:val="1"/>
    <w:semiHidden/>
    <w:qFormat/>
    <w:uiPriority w:val="0"/>
    <w:rPr>
      <w:sz w:val="18"/>
      <w:szCs w:val="18"/>
    </w:rPr>
  </w:style>
  <w:style w:type="paragraph" w:styleId="5">
    <w:name w:val="footer"/>
    <w:basedOn w:val="1"/>
    <w:link w:val="15"/>
    <w:qFormat/>
    <w:uiPriority w:val="99"/>
    <w:pPr>
      <w:tabs>
        <w:tab w:val="center" w:pos="4153"/>
        <w:tab w:val="right" w:pos="8306"/>
      </w:tabs>
      <w:snapToGrid w:val="0"/>
      <w:jc w:val="left"/>
    </w:pPr>
    <w:rPr>
      <w:rFonts w:eastAsia="宋体"/>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四号正文"/>
    <w:basedOn w:val="1"/>
    <w:link w:val="12"/>
    <w:qFormat/>
    <w:uiPriority w:val="0"/>
    <w:pPr>
      <w:spacing w:line="360" w:lineRule="auto"/>
    </w:pPr>
    <w:rPr>
      <w:rFonts w:ascii="??" w:hAnsi="??" w:eastAsia="宋体" w:cs="宋体"/>
      <w:color w:val="000000"/>
      <w:kern w:val="0"/>
      <w:sz w:val="28"/>
      <w:szCs w:val="21"/>
    </w:rPr>
  </w:style>
  <w:style w:type="character" w:customStyle="1" w:styleId="12">
    <w:name w:val="四号正文 Char"/>
    <w:basedOn w:val="9"/>
    <w:link w:val="11"/>
    <w:qFormat/>
    <w:uiPriority w:val="0"/>
    <w:rPr>
      <w:rFonts w:ascii="??" w:hAnsi="??" w:eastAsia="宋体" w:cs="宋体"/>
      <w:color w:val="000000"/>
      <w:sz w:val="28"/>
      <w:szCs w:val="21"/>
      <w:lang w:val="en-US" w:eastAsia="zh-CN" w:bidi="ar-SA"/>
    </w:rPr>
  </w:style>
  <w:style w:type="character" w:customStyle="1" w:styleId="13">
    <w:name w:val="文档结构图 字符"/>
    <w:basedOn w:val="9"/>
    <w:link w:val="2"/>
    <w:qFormat/>
    <w:uiPriority w:val="0"/>
    <w:rPr>
      <w:rFonts w:ascii="宋体"/>
      <w:kern w:val="2"/>
      <w:sz w:val="18"/>
      <w:szCs w:val="18"/>
    </w:rPr>
  </w:style>
  <w:style w:type="paragraph" w:customStyle="1" w:styleId="14">
    <w:name w:val="a"/>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5">
    <w:name w:val="页脚 字符"/>
    <w:basedOn w:val="9"/>
    <w:link w:val="5"/>
    <w:qFormat/>
    <w:uiPriority w:val="99"/>
    <w:rPr>
      <w:kern w:val="2"/>
      <w:sz w:val="18"/>
      <w:szCs w:val="18"/>
    </w:rPr>
  </w:style>
  <w:style w:type="character" w:customStyle="1" w:styleId="16">
    <w:name w:val="font31"/>
    <w:basedOn w:val="9"/>
    <w:qFormat/>
    <w:uiPriority w:val="0"/>
    <w:rPr>
      <w:rFonts w:hint="eastAsia" w:ascii="宋体" w:hAnsi="宋体" w:eastAsia="宋体" w:cs="宋体"/>
      <w:color w:val="000000"/>
      <w:sz w:val="24"/>
      <w:szCs w:val="24"/>
      <w:u w:val="none"/>
    </w:rPr>
  </w:style>
  <w:style w:type="paragraph" w:styleId="17">
    <w:name w:val="List Paragraph"/>
    <w:basedOn w:val="1"/>
    <w:qFormat/>
    <w:uiPriority w:val="99"/>
    <w:pPr>
      <w:ind w:firstLine="420" w:firstLineChars="200"/>
    </w:pPr>
  </w:style>
  <w:style w:type="character" w:customStyle="1" w:styleId="18">
    <w:name w:val="纯文本 字符"/>
    <w:basedOn w:val="9"/>
    <w:qFormat/>
    <w:uiPriority w:val="0"/>
    <w:rPr>
      <w:rFonts w:hAnsi="Courier New" w:cs="Courier New" w:asciiTheme="minorEastAsia" w:eastAsiaTheme="minorEastAsia"/>
      <w:kern w:val="2"/>
      <w:sz w:val="32"/>
      <w:szCs w:val="24"/>
    </w:rPr>
  </w:style>
  <w:style w:type="character" w:customStyle="1" w:styleId="19">
    <w:name w:val="纯文本 字符1"/>
    <w:link w:val="3"/>
    <w:qFormat/>
    <w:uiPriority w:val="0"/>
    <w:rPr>
      <w:rFonts w:ascii="宋体" w:hAnsi="Courier New"/>
      <w:kern w:val="2"/>
      <w:sz w:val="21"/>
      <w:szCs w:val="24"/>
    </w:rPr>
  </w:style>
  <w:style w:type="paragraph" w:customStyle="1" w:styleId="20">
    <w:name w:val="纯文本 + (西文) Calibri"/>
    <w:basedOn w:val="3"/>
    <w:link w:val="21"/>
    <w:qFormat/>
    <w:uiPriority w:val="0"/>
    <w:pPr>
      <w:spacing w:line="600" w:lineRule="exact"/>
      <w:ind w:left="160" w:leftChars="76" w:firstLine="800" w:firstLineChars="250"/>
      <w:jc w:val="left"/>
    </w:pPr>
    <w:rPr>
      <w:rFonts w:ascii="仿宋_GB2312" w:hAnsi="仿宋_GB2312" w:eastAsia="仿宋_GB2312" w:cs="仿宋_GB2312"/>
      <w:sz w:val="32"/>
      <w:szCs w:val="32"/>
    </w:rPr>
  </w:style>
  <w:style w:type="character" w:customStyle="1" w:styleId="21">
    <w:name w:val="纯文本 + (西文) Calibri Char"/>
    <w:link w:val="20"/>
    <w:qFormat/>
    <w:uiPriority w:val="0"/>
    <w:rPr>
      <w:rFonts w:ascii="仿宋_GB2312" w:hAnsi="仿宋_GB2312" w:eastAsia="仿宋_GB2312" w:cs="仿宋_GB2312"/>
      <w:kern w:val="2"/>
      <w:sz w:val="32"/>
      <w:szCs w:val="32"/>
    </w:rPr>
  </w:style>
  <w:style w:type="character" w:customStyle="1" w:styleId="22">
    <w:name w:val="纯文本 Char"/>
    <w:qFormat/>
    <w:uiPriority w:val="0"/>
    <w:rPr>
      <w:rFonts w:ascii="宋体" w:hAnsi="Courier New"/>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PSZX</Company>
  <Pages>5</Pages>
  <Words>2465</Words>
  <Characters>2610</Characters>
  <Lines>19</Lines>
  <Paragraphs>5</Paragraphs>
  <TotalTime>63</TotalTime>
  <ScaleCrop>false</ScaleCrop>
  <LinksUpToDate>false</LinksUpToDate>
  <CharactersWithSpaces>2618</CharactersWithSpaces>
  <Application>WPS Office_12.1.0.17121_F1E327BC-269C-435d-A152-05C5408002CA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2023-04-20T00:29:00Z</dcterms:created>
  <dc:creator>陈萍</dc:creator>
  <cp:lastModifiedBy>李建强</cp:lastModifiedBy>
  <cp:lastPrinted>2022-03-26T08:26:00Z</cp:lastPrinted>
  <dcterms:modified xsi:type="dcterms:W3CDTF">2024-06-11T02:20:03Z</dcterms:modified>
  <dc:title>区域性就业培训基地建设项目</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2052-12.1.0.17121</vt:lpwstr>
  </property>
  <property fmtid="{D5CDD505-2E9C-101B-9397-08002B2CF9AE}" pid="3" name="ICV">
    <vt:lpwstr>4E860493F56D4BF6B92C8E2F09045F58_13</vt:lpwstr>
  </property>
</Properties>
</file>